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1297" w:rsidRPr="00F10EAA" w:rsidRDefault="00711297" w:rsidP="00986843">
      <w:pPr>
        <w:ind w:left="3402" w:right="991" w:hanging="992"/>
        <w:jc w:val="both"/>
        <w:rPr>
          <w:rFonts w:ascii="Tahoma" w:hAnsi="Tahoma" w:cs="Tahoma"/>
          <w:i/>
          <w:sz w:val="20"/>
          <w:szCs w:val="20"/>
        </w:rPr>
      </w:pPr>
      <w:r w:rsidRPr="00F10EAA">
        <w:rPr>
          <w:rFonts w:ascii="Tahoma" w:hAnsi="Tahoma" w:cs="Tahoma"/>
          <w:b/>
          <w:i/>
          <w:sz w:val="20"/>
          <w:szCs w:val="20"/>
        </w:rPr>
        <w:t xml:space="preserve">Sumilla: </w:t>
      </w:r>
      <w:r w:rsidR="00C156F5" w:rsidRPr="00F10EAA">
        <w:rPr>
          <w:rFonts w:ascii="Tahoma" w:hAnsi="Tahoma" w:cs="Tahoma"/>
          <w:i/>
          <w:sz w:val="20"/>
          <w:szCs w:val="20"/>
        </w:rPr>
        <w:t>“</w:t>
      </w:r>
      <w:r w:rsidR="00F10EAA">
        <w:rPr>
          <w:rFonts w:ascii="Tahoma" w:hAnsi="Tahoma" w:cs="Tahoma"/>
          <w:i/>
          <w:sz w:val="20"/>
          <w:szCs w:val="20"/>
        </w:rPr>
        <w:t>S</w:t>
      </w:r>
      <w:r w:rsidR="00F10EAA" w:rsidRPr="00F10EAA">
        <w:rPr>
          <w:rFonts w:ascii="Tahoma" w:hAnsi="Tahoma" w:cs="Tahoma"/>
          <w:i/>
          <w:sz w:val="20"/>
          <w:szCs w:val="20"/>
        </w:rPr>
        <w:t>i de una presentación espontánea del interesado o su representante surge clara e indubitablemente que está en conocimiento fehaciente de un acto, se tendrá ese acto por notificado” y que “la notificación surtirá efectos de</w:t>
      </w:r>
      <w:r w:rsidR="00F10EAA">
        <w:rPr>
          <w:rFonts w:ascii="Tahoma" w:hAnsi="Tahoma" w:cs="Tahoma"/>
          <w:i/>
          <w:sz w:val="20"/>
          <w:szCs w:val="20"/>
        </w:rPr>
        <w:t>sde la fecha de la presentación</w:t>
      </w:r>
      <w:r w:rsidR="00C14824">
        <w:rPr>
          <w:rFonts w:ascii="Tahoma" w:hAnsi="Tahoma" w:cs="Tahoma"/>
          <w:i/>
          <w:sz w:val="20"/>
          <w:szCs w:val="20"/>
        </w:rPr>
        <w:t>”.</w:t>
      </w:r>
    </w:p>
    <w:p w:rsidR="00711297" w:rsidRPr="00F10EAA" w:rsidRDefault="00711297" w:rsidP="00986843">
      <w:pPr>
        <w:ind w:left="3402" w:right="991" w:hanging="992"/>
        <w:jc w:val="both"/>
        <w:rPr>
          <w:rFonts w:ascii="Tahoma" w:hAnsi="Tahoma" w:cs="Tahoma"/>
          <w:i/>
          <w:sz w:val="20"/>
          <w:szCs w:val="20"/>
        </w:rPr>
      </w:pPr>
    </w:p>
    <w:p w:rsidR="00711297" w:rsidRPr="00F10EAA" w:rsidRDefault="00711297" w:rsidP="00986843">
      <w:pPr>
        <w:pStyle w:val="Textoindependiente3"/>
        <w:ind w:left="4956" w:firstLine="708"/>
        <w:jc w:val="both"/>
        <w:rPr>
          <w:rFonts w:ascii="Tahoma" w:hAnsi="Tahoma" w:cs="Tahoma"/>
          <w:b/>
          <w:sz w:val="20"/>
          <w:szCs w:val="20"/>
        </w:rPr>
      </w:pPr>
      <w:r w:rsidRPr="00F10EAA">
        <w:rPr>
          <w:rFonts w:ascii="Tahoma" w:hAnsi="Tahoma" w:cs="Tahoma"/>
          <w:b/>
          <w:sz w:val="20"/>
          <w:szCs w:val="20"/>
        </w:rPr>
        <w:t xml:space="preserve">Lima, </w:t>
      </w:r>
      <w:r w:rsidR="00FC137C">
        <w:rPr>
          <w:rFonts w:ascii="Tahoma" w:hAnsi="Tahoma" w:cs="Tahoma"/>
          <w:b/>
          <w:sz w:val="20"/>
          <w:szCs w:val="20"/>
        </w:rPr>
        <w:t>21 de Junio de 2011</w:t>
      </w:r>
    </w:p>
    <w:p w:rsidR="00711297" w:rsidRPr="00F10EAA" w:rsidRDefault="00711297" w:rsidP="00986843">
      <w:pPr>
        <w:jc w:val="both"/>
        <w:rPr>
          <w:rFonts w:ascii="Tahoma" w:hAnsi="Tahoma" w:cs="Tahoma"/>
          <w:sz w:val="20"/>
          <w:szCs w:val="20"/>
        </w:rPr>
      </w:pPr>
      <w:r w:rsidRPr="00F10EAA">
        <w:rPr>
          <w:rFonts w:ascii="Tahoma" w:hAnsi="Tahoma" w:cs="Tahoma"/>
          <w:b/>
          <w:i/>
          <w:sz w:val="20"/>
          <w:szCs w:val="20"/>
        </w:rPr>
        <w:t xml:space="preserve">          </w:t>
      </w:r>
      <w:r w:rsidRPr="00F10EAA">
        <w:rPr>
          <w:rFonts w:ascii="Tahoma" w:hAnsi="Tahoma" w:cs="Tahoma"/>
          <w:b/>
          <w:sz w:val="20"/>
          <w:szCs w:val="20"/>
        </w:rPr>
        <w:t xml:space="preserve">VISTO </w:t>
      </w:r>
      <w:r w:rsidRPr="00F10EAA">
        <w:rPr>
          <w:rFonts w:ascii="Tahoma" w:hAnsi="Tahoma" w:cs="Tahoma"/>
          <w:sz w:val="20"/>
          <w:szCs w:val="20"/>
        </w:rPr>
        <w:t xml:space="preserve">en sesión de fecha </w:t>
      </w:r>
      <w:r w:rsidR="00F10EAA">
        <w:rPr>
          <w:rFonts w:ascii="Tahoma" w:hAnsi="Tahoma" w:cs="Tahoma"/>
          <w:sz w:val="20"/>
          <w:szCs w:val="20"/>
        </w:rPr>
        <w:t>21</w:t>
      </w:r>
      <w:r w:rsidR="00AE30EA" w:rsidRPr="00F10EAA">
        <w:rPr>
          <w:rFonts w:ascii="Tahoma" w:hAnsi="Tahoma" w:cs="Tahoma"/>
          <w:sz w:val="20"/>
          <w:szCs w:val="20"/>
        </w:rPr>
        <w:t xml:space="preserve"> de junio</w:t>
      </w:r>
      <w:r w:rsidR="00CC02FE" w:rsidRPr="00F10EAA">
        <w:rPr>
          <w:rFonts w:ascii="Tahoma" w:hAnsi="Tahoma" w:cs="Tahoma"/>
          <w:sz w:val="20"/>
          <w:szCs w:val="20"/>
        </w:rPr>
        <w:t xml:space="preserve"> de 2011</w:t>
      </w:r>
      <w:r w:rsidRPr="00F10EAA">
        <w:rPr>
          <w:rFonts w:ascii="Tahoma" w:hAnsi="Tahoma" w:cs="Tahoma"/>
          <w:sz w:val="20"/>
          <w:szCs w:val="20"/>
        </w:rPr>
        <w:t xml:space="preserve">, de la </w:t>
      </w:r>
      <w:r w:rsidR="00CC02FE" w:rsidRPr="00F10EAA">
        <w:rPr>
          <w:rFonts w:ascii="Tahoma" w:hAnsi="Tahoma" w:cs="Tahoma"/>
          <w:sz w:val="20"/>
          <w:szCs w:val="20"/>
        </w:rPr>
        <w:t>Primera</w:t>
      </w:r>
      <w:r w:rsidRPr="00F10EAA">
        <w:rPr>
          <w:rFonts w:ascii="Tahoma" w:hAnsi="Tahoma" w:cs="Tahoma"/>
          <w:sz w:val="20"/>
          <w:szCs w:val="20"/>
        </w:rPr>
        <w:t xml:space="preserve"> Sala del Tribunal de Contrataciones del Estado, el Expediente № </w:t>
      </w:r>
      <w:r w:rsidR="00F10EAA">
        <w:rPr>
          <w:rFonts w:ascii="Tahoma" w:hAnsi="Tahoma" w:cs="Tahoma"/>
          <w:sz w:val="20"/>
          <w:szCs w:val="20"/>
        </w:rPr>
        <w:t>1664</w:t>
      </w:r>
      <w:r w:rsidR="00B327B4" w:rsidRPr="00F10EAA">
        <w:rPr>
          <w:rFonts w:ascii="Tahoma" w:hAnsi="Tahoma" w:cs="Tahoma"/>
          <w:sz w:val="20"/>
          <w:szCs w:val="20"/>
        </w:rPr>
        <w:t>/2010</w:t>
      </w:r>
      <w:r w:rsidRPr="00F10EAA">
        <w:rPr>
          <w:rFonts w:ascii="Tahoma" w:hAnsi="Tahoma" w:cs="Tahoma"/>
          <w:sz w:val="20"/>
          <w:szCs w:val="20"/>
        </w:rPr>
        <w:t xml:space="preserve">.TC sobre el recurso de reconsideración interpuesto por </w:t>
      </w:r>
      <w:r w:rsidR="00F10EAA">
        <w:rPr>
          <w:rFonts w:ascii="Tahoma" w:hAnsi="Tahoma" w:cs="Tahoma"/>
          <w:sz w:val="20"/>
          <w:szCs w:val="20"/>
        </w:rPr>
        <w:t xml:space="preserve">las empresas </w:t>
      </w:r>
      <w:r w:rsidR="00F10EAA" w:rsidRPr="00F10EAA">
        <w:rPr>
          <w:rFonts w:ascii="Tahoma" w:hAnsi="Tahoma" w:cs="Tahoma"/>
          <w:sz w:val="20"/>
          <w:szCs w:val="20"/>
        </w:rPr>
        <w:t xml:space="preserve">SERVIL CONSTRUCCIONES S.A.C. </w:t>
      </w:r>
      <w:r w:rsidR="00F10EAA">
        <w:rPr>
          <w:rFonts w:ascii="Tahoma" w:hAnsi="Tahoma" w:cs="Tahoma"/>
          <w:sz w:val="20"/>
          <w:szCs w:val="20"/>
        </w:rPr>
        <w:t>y</w:t>
      </w:r>
      <w:r w:rsidR="00F10EAA" w:rsidRPr="00F10EAA">
        <w:rPr>
          <w:rFonts w:ascii="Tahoma" w:hAnsi="Tahoma" w:cs="Tahoma"/>
          <w:sz w:val="20"/>
          <w:szCs w:val="20"/>
        </w:rPr>
        <w:t xml:space="preserve"> CONSTRUCTORA Y SERVICIOS C &amp; C S.R.L. (integrantes del Consorcio La Alameda)</w:t>
      </w:r>
      <w:r w:rsidR="00C46DE3" w:rsidRPr="00F10EAA">
        <w:rPr>
          <w:rFonts w:ascii="Tahoma" w:hAnsi="Tahoma" w:cs="Tahoma"/>
          <w:sz w:val="20"/>
          <w:szCs w:val="20"/>
        </w:rPr>
        <w:t xml:space="preserve"> </w:t>
      </w:r>
      <w:r w:rsidRPr="00F10EAA">
        <w:rPr>
          <w:rFonts w:ascii="Tahoma" w:hAnsi="Tahoma" w:cs="Tahoma"/>
          <w:sz w:val="20"/>
          <w:szCs w:val="20"/>
        </w:rPr>
        <w:t xml:space="preserve">contra la Resolución </w:t>
      </w:r>
      <w:r w:rsidR="00831F2B" w:rsidRPr="00F10EAA">
        <w:rPr>
          <w:rFonts w:ascii="Tahoma" w:hAnsi="Tahoma" w:cs="Tahoma"/>
          <w:sz w:val="20"/>
          <w:szCs w:val="20"/>
        </w:rPr>
        <w:t xml:space="preserve">№ </w:t>
      </w:r>
      <w:r w:rsidR="00F10EAA">
        <w:rPr>
          <w:rFonts w:ascii="Tahoma" w:hAnsi="Tahoma" w:cs="Tahoma"/>
          <w:sz w:val="20"/>
          <w:szCs w:val="20"/>
        </w:rPr>
        <w:t>823</w:t>
      </w:r>
      <w:r w:rsidR="00831F2B" w:rsidRPr="00F10EAA">
        <w:rPr>
          <w:rFonts w:ascii="Tahoma" w:hAnsi="Tahoma" w:cs="Tahoma"/>
          <w:sz w:val="20"/>
          <w:szCs w:val="20"/>
        </w:rPr>
        <w:t xml:space="preserve">-2011-TC-S1 del </w:t>
      </w:r>
      <w:r w:rsidR="00AE30EA" w:rsidRPr="00F10EAA">
        <w:rPr>
          <w:rFonts w:ascii="Tahoma" w:hAnsi="Tahoma" w:cs="Tahoma"/>
          <w:sz w:val="20"/>
          <w:szCs w:val="20"/>
        </w:rPr>
        <w:t>17 de mayo</w:t>
      </w:r>
      <w:r w:rsidR="00831F2B" w:rsidRPr="00F10EAA">
        <w:rPr>
          <w:rFonts w:ascii="Tahoma" w:hAnsi="Tahoma" w:cs="Tahoma"/>
          <w:sz w:val="20"/>
          <w:szCs w:val="20"/>
        </w:rPr>
        <w:t xml:space="preserve"> de 2011</w:t>
      </w:r>
      <w:r w:rsidRPr="00F10EAA">
        <w:rPr>
          <w:rFonts w:ascii="Tahoma" w:hAnsi="Tahoma" w:cs="Tahoma"/>
          <w:sz w:val="20"/>
          <w:szCs w:val="20"/>
        </w:rPr>
        <w:t xml:space="preserve">, que dispuso imponer sanción administrativa de inhabilitación temporal en sus derechos para participar en procesos de selección y contratar con el Estado, por el periodo de </w:t>
      </w:r>
      <w:r w:rsidR="00C46DE3" w:rsidRPr="00F10EAA">
        <w:rPr>
          <w:rFonts w:ascii="Tahoma" w:hAnsi="Tahoma" w:cs="Tahoma"/>
          <w:sz w:val="20"/>
          <w:szCs w:val="20"/>
        </w:rPr>
        <w:t xml:space="preserve">catorce </w:t>
      </w:r>
      <w:r w:rsidRPr="00F10EAA">
        <w:rPr>
          <w:rFonts w:ascii="Tahoma" w:hAnsi="Tahoma" w:cs="Tahoma"/>
          <w:sz w:val="20"/>
          <w:szCs w:val="20"/>
        </w:rPr>
        <w:t>(</w:t>
      </w:r>
      <w:r w:rsidR="009C3AD8" w:rsidRPr="00F10EAA">
        <w:rPr>
          <w:rFonts w:ascii="Tahoma" w:hAnsi="Tahoma" w:cs="Tahoma"/>
          <w:sz w:val="20"/>
          <w:szCs w:val="20"/>
        </w:rPr>
        <w:t>1</w:t>
      </w:r>
      <w:r w:rsidR="00C46DE3" w:rsidRPr="00F10EAA">
        <w:rPr>
          <w:rFonts w:ascii="Tahoma" w:hAnsi="Tahoma" w:cs="Tahoma"/>
          <w:sz w:val="20"/>
          <w:szCs w:val="20"/>
        </w:rPr>
        <w:t>4</w:t>
      </w:r>
      <w:r w:rsidRPr="00F10EAA">
        <w:rPr>
          <w:rFonts w:ascii="Tahoma" w:hAnsi="Tahoma" w:cs="Tahoma"/>
          <w:sz w:val="20"/>
          <w:szCs w:val="20"/>
        </w:rPr>
        <w:t xml:space="preserve">) meses; y, atendiendo a los siguientes: </w:t>
      </w:r>
    </w:p>
    <w:p w:rsidR="00711297" w:rsidRPr="00F10EAA" w:rsidRDefault="00711297" w:rsidP="00986843">
      <w:pPr>
        <w:jc w:val="both"/>
        <w:rPr>
          <w:rFonts w:ascii="Tahoma" w:hAnsi="Tahoma" w:cs="Tahoma"/>
          <w:color w:val="000000"/>
          <w:sz w:val="20"/>
          <w:szCs w:val="20"/>
        </w:rPr>
      </w:pPr>
    </w:p>
    <w:p w:rsidR="00711297" w:rsidRPr="00F10EAA" w:rsidRDefault="00711297" w:rsidP="00986843">
      <w:pPr>
        <w:jc w:val="both"/>
        <w:rPr>
          <w:rFonts w:ascii="Tahoma" w:hAnsi="Tahoma" w:cs="Tahoma"/>
          <w:b/>
          <w:sz w:val="20"/>
          <w:szCs w:val="20"/>
        </w:rPr>
      </w:pPr>
      <w:r w:rsidRPr="00F10EAA">
        <w:rPr>
          <w:rFonts w:ascii="Tahoma" w:hAnsi="Tahoma" w:cs="Tahoma"/>
          <w:b/>
          <w:sz w:val="20"/>
          <w:szCs w:val="20"/>
        </w:rPr>
        <w:t>ANTECEDENTES:</w:t>
      </w:r>
    </w:p>
    <w:p w:rsidR="00711297" w:rsidRPr="00F10EAA" w:rsidRDefault="00711297" w:rsidP="00986843">
      <w:pPr>
        <w:jc w:val="both"/>
        <w:rPr>
          <w:rFonts w:ascii="Tahoma" w:hAnsi="Tahoma" w:cs="Tahoma"/>
          <w:b/>
          <w:sz w:val="20"/>
          <w:szCs w:val="20"/>
        </w:rPr>
      </w:pPr>
    </w:p>
    <w:p w:rsidR="00F10EAA" w:rsidRPr="00F10EAA" w:rsidRDefault="00F10EAA" w:rsidP="00F10EAA">
      <w:pPr>
        <w:pStyle w:val="Prrafodelista"/>
        <w:numPr>
          <w:ilvl w:val="0"/>
          <w:numId w:val="29"/>
        </w:numPr>
        <w:ind w:left="567" w:hanging="567"/>
        <w:jc w:val="both"/>
        <w:rPr>
          <w:rFonts w:ascii="Tahoma" w:hAnsi="Tahoma" w:cs="Tahoma"/>
          <w:sz w:val="20"/>
          <w:szCs w:val="20"/>
        </w:rPr>
      </w:pPr>
      <w:r w:rsidRPr="00F10EAA">
        <w:rPr>
          <w:rFonts w:ascii="Tahoma" w:hAnsi="Tahoma" w:cs="Tahoma"/>
          <w:sz w:val="20"/>
          <w:szCs w:val="20"/>
        </w:rPr>
        <w:t xml:space="preserve">El 01 de febrero del 2009, la </w:t>
      </w:r>
      <w:r w:rsidRPr="00F10EAA">
        <w:rPr>
          <w:rFonts w:ascii="Tahoma" w:hAnsi="Tahoma" w:cs="Tahoma"/>
          <w:sz w:val="20"/>
          <w:szCs w:val="20"/>
          <w:lang w:val="es-PE"/>
        </w:rPr>
        <w:t>Municipalidad Distrital de Coishco</w:t>
      </w:r>
      <w:r w:rsidRPr="00F10EAA">
        <w:rPr>
          <w:rFonts w:ascii="Tahoma" w:hAnsi="Tahoma" w:cs="Tahoma"/>
          <w:sz w:val="20"/>
          <w:szCs w:val="20"/>
        </w:rPr>
        <w:t>, en adelante la Entidad, convocó a la Adjudicación Directa Pública № 001-2009-MDC/CEP, para la ejecución de obra: “</w:t>
      </w:r>
      <w:r w:rsidRPr="00F10EAA">
        <w:rPr>
          <w:rFonts w:ascii="Tahoma" w:hAnsi="Tahoma" w:cs="Tahoma"/>
          <w:color w:val="000000" w:themeColor="text1"/>
          <w:sz w:val="20"/>
          <w:szCs w:val="20"/>
        </w:rPr>
        <w:t>Mejoramiento integral de la Av. Jorge Chávez, Distrito de Coishco - Santa - Ancash</w:t>
      </w:r>
      <w:r w:rsidRPr="00F10EAA">
        <w:rPr>
          <w:rFonts w:ascii="Tahoma" w:hAnsi="Tahoma" w:cs="Tahoma"/>
          <w:sz w:val="20"/>
          <w:szCs w:val="20"/>
        </w:rPr>
        <w:t xml:space="preserve">”, por un valor referencial ascendente a </w:t>
      </w:r>
      <w:r w:rsidRPr="00F10EAA">
        <w:rPr>
          <w:rFonts w:ascii="Tahoma" w:hAnsi="Tahoma" w:cs="Tahoma"/>
          <w:bCs/>
          <w:color w:val="000000" w:themeColor="text1"/>
          <w:spacing w:val="-2"/>
          <w:sz w:val="20"/>
          <w:szCs w:val="20"/>
          <w:lang w:val="es-PE"/>
        </w:rPr>
        <w:t>S/. 1 179 969.06 (</w:t>
      </w:r>
      <w:r w:rsidRPr="00F10EAA">
        <w:rPr>
          <w:rFonts w:ascii="Tahoma" w:hAnsi="Tahoma" w:cs="Tahoma"/>
          <w:sz w:val="20"/>
          <w:szCs w:val="20"/>
        </w:rPr>
        <w:t>Un millón ciento setenta y nueve mil novecientos sesenta y nueve con 06/100 Nuevos Soles</w:t>
      </w:r>
      <w:r w:rsidRPr="00F10EAA">
        <w:rPr>
          <w:rFonts w:ascii="Tahoma" w:hAnsi="Tahoma" w:cs="Tahoma"/>
          <w:bCs/>
          <w:color w:val="000000" w:themeColor="text1"/>
          <w:spacing w:val="-2"/>
          <w:sz w:val="20"/>
          <w:szCs w:val="20"/>
          <w:lang w:val="es-PE"/>
        </w:rPr>
        <w:t>)</w:t>
      </w:r>
      <w:r w:rsidRPr="00F10EAA">
        <w:rPr>
          <w:rFonts w:ascii="Tahoma" w:hAnsi="Tahoma" w:cs="Tahoma"/>
          <w:sz w:val="20"/>
          <w:szCs w:val="20"/>
        </w:rPr>
        <w:t>.</w:t>
      </w:r>
    </w:p>
    <w:p w:rsidR="00F10EAA" w:rsidRPr="00F10EAA" w:rsidRDefault="00F10EAA" w:rsidP="00F10EAA">
      <w:pPr>
        <w:pStyle w:val="Prrafodelista"/>
        <w:ind w:left="567"/>
        <w:rPr>
          <w:rFonts w:ascii="Tahoma" w:hAnsi="Tahoma" w:cs="Tahoma"/>
          <w:sz w:val="20"/>
          <w:szCs w:val="20"/>
        </w:rPr>
      </w:pPr>
    </w:p>
    <w:p w:rsidR="00F10EAA" w:rsidRPr="00F10EAA" w:rsidRDefault="00F10EAA" w:rsidP="00F10EAA">
      <w:pPr>
        <w:pStyle w:val="Prrafodelista"/>
        <w:numPr>
          <w:ilvl w:val="0"/>
          <w:numId w:val="29"/>
        </w:numPr>
        <w:ind w:left="567" w:hanging="567"/>
        <w:jc w:val="both"/>
        <w:rPr>
          <w:rFonts w:ascii="Tahoma" w:hAnsi="Tahoma" w:cs="Tahoma"/>
          <w:sz w:val="20"/>
          <w:szCs w:val="20"/>
        </w:rPr>
      </w:pPr>
      <w:r w:rsidRPr="00F10EAA">
        <w:rPr>
          <w:rFonts w:ascii="Tahoma" w:hAnsi="Tahoma" w:cs="Tahoma"/>
          <w:sz w:val="20"/>
          <w:szCs w:val="20"/>
        </w:rPr>
        <w:t>Con fecha 16 de diciembre de 2009, se realizó el acto público de otorgamiento de la Buena Pro, la misma que fue adjudicada a favor del Consorcio La Alameda integrada por las empresas CONSTRUCCIONES &amp; FABRICACIONES JENCERPE E.I.R.L., SERVIL CONSTRUCCIONES S.A.C. Y CONSTRUCTORA Y SERVICIOS C &amp; C S.R.L., en adelante el Consorcio.</w:t>
      </w:r>
    </w:p>
    <w:p w:rsidR="00F10EAA" w:rsidRPr="00F10EAA" w:rsidRDefault="00F10EAA" w:rsidP="00F10EAA">
      <w:pPr>
        <w:pStyle w:val="Prrafodelista"/>
        <w:rPr>
          <w:rFonts w:ascii="Tahoma" w:hAnsi="Tahoma" w:cs="Tahoma"/>
          <w:sz w:val="20"/>
          <w:szCs w:val="20"/>
        </w:rPr>
      </w:pPr>
    </w:p>
    <w:p w:rsidR="00F10EAA" w:rsidRPr="00F10EAA" w:rsidRDefault="00F10EAA" w:rsidP="00F10EAA">
      <w:pPr>
        <w:pStyle w:val="Prrafodelista"/>
        <w:numPr>
          <w:ilvl w:val="0"/>
          <w:numId w:val="29"/>
        </w:numPr>
        <w:ind w:left="567" w:hanging="567"/>
        <w:jc w:val="both"/>
        <w:rPr>
          <w:rFonts w:ascii="Tahoma" w:hAnsi="Tahoma" w:cs="Tahoma"/>
          <w:sz w:val="20"/>
          <w:szCs w:val="20"/>
        </w:rPr>
      </w:pPr>
      <w:r w:rsidRPr="00F10EAA">
        <w:rPr>
          <w:rFonts w:ascii="Tahoma" w:hAnsi="Tahoma" w:cs="Tahoma"/>
          <w:sz w:val="20"/>
          <w:szCs w:val="20"/>
        </w:rPr>
        <w:t>A través de la Carta № 021-2009-MDC-CEP de fecha 17 de diciembre de 2009, la Entidad requirió al Postor a fin que cumpliera con apersonarse para la suscripción del contrato dentro de un plazo no mayor a diez (10) días hábiles, debiendo además remitir entre otros documentos, la garantía de fiel cumplimiento. Razón por la cual, el Postor presentó la Carta Fianza № 00702-2009 de fecha 21 de diciembre de 2009, emitida por la Caja Municipal del Santa S.A. por el importe de S/. 117.996.90.</w:t>
      </w:r>
    </w:p>
    <w:p w:rsidR="00F10EAA" w:rsidRPr="00F10EAA" w:rsidRDefault="00F10EAA" w:rsidP="00F10EAA">
      <w:pPr>
        <w:pStyle w:val="Prrafodelista"/>
        <w:rPr>
          <w:rFonts w:ascii="Tahoma" w:hAnsi="Tahoma" w:cs="Tahoma"/>
          <w:sz w:val="20"/>
          <w:szCs w:val="20"/>
        </w:rPr>
      </w:pPr>
    </w:p>
    <w:p w:rsidR="00F10EAA" w:rsidRPr="00F10EAA" w:rsidRDefault="00F10EAA" w:rsidP="00F10EAA">
      <w:pPr>
        <w:pStyle w:val="Prrafodelista"/>
        <w:numPr>
          <w:ilvl w:val="0"/>
          <w:numId w:val="29"/>
        </w:numPr>
        <w:ind w:left="567" w:hanging="567"/>
        <w:jc w:val="both"/>
        <w:rPr>
          <w:rFonts w:ascii="Tahoma" w:hAnsi="Tahoma" w:cs="Tahoma"/>
          <w:sz w:val="20"/>
          <w:szCs w:val="20"/>
        </w:rPr>
      </w:pPr>
      <w:r w:rsidRPr="00F10EAA">
        <w:rPr>
          <w:rFonts w:ascii="Tahoma" w:hAnsi="Tahoma" w:cs="Tahoma"/>
          <w:sz w:val="20"/>
          <w:szCs w:val="20"/>
        </w:rPr>
        <w:t>El 18 de diciembre de 2009, la Entidad y el Consorcio suscribieron el Contrato derivado del presente proceso de selección, para la ejecución de la obra: “</w:t>
      </w:r>
      <w:r w:rsidRPr="00F10EAA">
        <w:rPr>
          <w:rFonts w:ascii="Tahoma" w:hAnsi="Tahoma" w:cs="Tahoma"/>
          <w:color w:val="000000" w:themeColor="text1"/>
          <w:sz w:val="20"/>
          <w:szCs w:val="20"/>
        </w:rPr>
        <w:t>Mejoramiento integral de la Av. Jorge Chávez, Distrito de Coishco - Santa - Ancash</w:t>
      </w:r>
      <w:r w:rsidRPr="00F10EAA">
        <w:rPr>
          <w:rFonts w:ascii="Tahoma" w:hAnsi="Tahoma" w:cs="Tahoma"/>
          <w:sz w:val="20"/>
          <w:szCs w:val="20"/>
        </w:rPr>
        <w:t>”, por el monto de S/. 1 179 969.06, y con un plazo de ejecución contractual de noventa (90) días calendarios a partir del día siguiente en que se cumplan las condiciones establecidas en el artículo 184 del Reglamento.</w:t>
      </w:r>
    </w:p>
    <w:p w:rsidR="00F10EAA" w:rsidRPr="00F10EAA" w:rsidRDefault="00F10EAA" w:rsidP="00F10EAA">
      <w:pPr>
        <w:pStyle w:val="Prrafodelista"/>
        <w:rPr>
          <w:rFonts w:ascii="Tahoma" w:hAnsi="Tahoma" w:cs="Tahoma"/>
          <w:sz w:val="20"/>
          <w:szCs w:val="20"/>
        </w:rPr>
      </w:pPr>
    </w:p>
    <w:p w:rsidR="00F10EAA" w:rsidRPr="00F10EAA" w:rsidRDefault="00F10EAA" w:rsidP="00F10EAA">
      <w:pPr>
        <w:pStyle w:val="Prrafodelista"/>
        <w:numPr>
          <w:ilvl w:val="0"/>
          <w:numId w:val="29"/>
        </w:numPr>
        <w:ind w:left="567" w:hanging="567"/>
        <w:jc w:val="both"/>
        <w:rPr>
          <w:rFonts w:ascii="Tahoma" w:hAnsi="Tahoma" w:cs="Tahoma"/>
          <w:sz w:val="20"/>
          <w:szCs w:val="20"/>
        </w:rPr>
      </w:pPr>
      <w:r w:rsidRPr="00F10EAA">
        <w:rPr>
          <w:rFonts w:ascii="Tahoma" w:hAnsi="Tahoma" w:cs="Tahoma"/>
          <w:sz w:val="20"/>
          <w:szCs w:val="20"/>
        </w:rPr>
        <w:t xml:space="preserve">A través del Informe № 012-2010/JCPS-GSM-MDC de fecha 19 de abril de 2010, el Gerente de Obra comunicó al Ingeniero Supervisor de la Obra, entre otros, que a la fecha la ejecución de la obra se encontraba ejecutada físicamente al 56.74%, debiendo tener </w:t>
      </w:r>
      <w:r w:rsidRPr="00F10EAA">
        <w:rPr>
          <w:rFonts w:ascii="Tahoma" w:hAnsi="Tahoma" w:cs="Tahoma"/>
          <w:sz w:val="20"/>
          <w:szCs w:val="20"/>
        </w:rPr>
        <w:lastRenderedPageBreak/>
        <w:t>según el calendario valorizado de avance de obra un avance de 80.90% de ejecución acumulada.</w:t>
      </w:r>
    </w:p>
    <w:p w:rsidR="00F10EAA" w:rsidRPr="00F10EAA" w:rsidRDefault="00F10EAA" w:rsidP="00F10EAA">
      <w:pPr>
        <w:pStyle w:val="Prrafodelista"/>
        <w:rPr>
          <w:rFonts w:ascii="Tahoma" w:hAnsi="Tahoma" w:cs="Tahoma"/>
          <w:sz w:val="20"/>
          <w:szCs w:val="20"/>
          <w:lang w:val="es-PE"/>
        </w:rPr>
      </w:pPr>
    </w:p>
    <w:p w:rsidR="00F10EAA" w:rsidRPr="00F10EAA" w:rsidRDefault="00F10EAA" w:rsidP="00F10EAA">
      <w:pPr>
        <w:pStyle w:val="Prrafodelista"/>
        <w:numPr>
          <w:ilvl w:val="0"/>
          <w:numId w:val="29"/>
        </w:numPr>
        <w:ind w:left="567" w:hanging="567"/>
        <w:jc w:val="both"/>
        <w:rPr>
          <w:rFonts w:ascii="Tahoma" w:hAnsi="Tahoma" w:cs="Tahoma"/>
          <w:sz w:val="20"/>
          <w:szCs w:val="20"/>
        </w:rPr>
      </w:pPr>
      <w:r w:rsidRPr="00F10EAA">
        <w:rPr>
          <w:rFonts w:ascii="Tahoma" w:hAnsi="Tahoma" w:cs="Tahoma"/>
          <w:sz w:val="20"/>
          <w:szCs w:val="20"/>
          <w:lang w:val="es-PE"/>
        </w:rPr>
        <w:t xml:space="preserve">A través de Carta № 016-2010-GM/MDC de fecha 16 de agosto de 2010, notificada vía conducto notarial el 17 del mismo mes y año, la Entidad comunicó al Consorcio la resolución total del Contrato de fecha 18 de diciembre de 2009, </w:t>
      </w:r>
      <w:r w:rsidRPr="00F10EAA">
        <w:rPr>
          <w:rFonts w:ascii="Tahoma" w:hAnsi="Tahoma" w:cs="Tahoma"/>
          <w:sz w:val="20"/>
          <w:szCs w:val="20"/>
        </w:rPr>
        <w:t xml:space="preserve">atendiendo a la Resolución de Gerencia Municipal № 001-2010-GM/MDC, mediante la cual </w:t>
      </w:r>
      <w:r w:rsidRPr="00F10EAA">
        <w:rPr>
          <w:rFonts w:ascii="Tahoma" w:hAnsi="Tahoma" w:cs="Tahoma"/>
          <w:sz w:val="20"/>
          <w:szCs w:val="20"/>
          <w:lang w:val="es-PE"/>
        </w:rPr>
        <w:t xml:space="preserve">se determinó la penalidad por mora incurrida por éste, el cual superaba el monto máximo del 10% del monto del Contrato. Asimismo, en la citada resolución se </w:t>
      </w:r>
      <w:r w:rsidRPr="00F10EAA">
        <w:rPr>
          <w:rFonts w:ascii="Tahoma" w:hAnsi="Tahoma" w:cs="Tahoma"/>
          <w:sz w:val="20"/>
          <w:szCs w:val="20"/>
        </w:rPr>
        <w:t>ordenó la ejecución de las Cartas Fianzas de Fiel Cumplimiento, Adelanto Directo y Adelanto de materiales para el cobro de la penalidad y el pago de gastos administrativos y notariales.</w:t>
      </w:r>
    </w:p>
    <w:p w:rsidR="00F10EAA" w:rsidRPr="00F10EAA" w:rsidRDefault="00F10EAA" w:rsidP="00F10EAA">
      <w:pPr>
        <w:pStyle w:val="Prrafodelista"/>
        <w:rPr>
          <w:rFonts w:ascii="Tahoma" w:hAnsi="Tahoma" w:cs="Tahoma"/>
          <w:sz w:val="20"/>
          <w:szCs w:val="20"/>
        </w:rPr>
      </w:pPr>
    </w:p>
    <w:p w:rsidR="00F10EAA" w:rsidRPr="00F10EAA" w:rsidRDefault="00F10EAA" w:rsidP="00F10EAA">
      <w:pPr>
        <w:pStyle w:val="Prrafodelista"/>
        <w:numPr>
          <w:ilvl w:val="0"/>
          <w:numId w:val="29"/>
        </w:numPr>
        <w:ind w:left="567" w:hanging="567"/>
        <w:jc w:val="both"/>
        <w:rPr>
          <w:rFonts w:ascii="Tahoma" w:hAnsi="Tahoma" w:cs="Tahoma"/>
          <w:sz w:val="20"/>
          <w:szCs w:val="20"/>
        </w:rPr>
      </w:pPr>
      <w:r w:rsidRPr="00F10EAA">
        <w:rPr>
          <w:rFonts w:ascii="Tahoma" w:hAnsi="Tahoma" w:cs="Tahoma"/>
          <w:sz w:val="20"/>
          <w:szCs w:val="20"/>
        </w:rPr>
        <w:t>En ese sentido, a través del Oficio № 011-2010-GM-MDC, la Entidad solicitó a la Caja Municipal del Santa S.A. la ejecución de las Cartas Fianzas № 00702-2009, № 0072-2010, № 0073-2010 de fechas 21 de diciembre de 2009, 15 de marzo de 2010, respectivamente, las mismas que fueron presentadas por el Consorcio como garantías de fiel cumplimiento, adelantos directos y de materiales. En atención a ello, mediante Carta № 006-2010/ACC-CMAC-SANTA de fecha 09 de julio de 2010, dicha institución financiera comunicó que de la verificación efectuada en su sistema se ha determinado que: (i) La Carta Fianza № 00702-2009 por el monto de S/. 117 996.90 (Fiel Cumplimiento), la Carta Fianza № 0073-2010 por el monto de S/. 235 993.81 (Adelanto Directo) y la Carta Fianza № 0072-2010 por el monto de S/. 471,987.62 (Adelanto de Materiales), no habían sido emitidas por su representada, por lo que su contenido en el fondo y forma eran falsos.</w:t>
      </w:r>
    </w:p>
    <w:p w:rsidR="00F10EAA" w:rsidRPr="00F10EAA" w:rsidRDefault="00F10EAA" w:rsidP="00F10EAA">
      <w:pPr>
        <w:pStyle w:val="Prrafodelista"/>
        <w:rPr>
          <w:rFonts w:ascii="Tahoma" w:hAnsi="Tahoma" w:cs="Tahoma"/>
          <w:sz w:val="20"/>
          <w:szCs w:val="20"/>
        </w:rPr>
      </w:pPr>
    </w:p>
    <w:p w:rsidR="00F10EAA" w:rsidRPr="00F10EAA" w:rsidRDefault="00F10EAA" w:rsidP="00F10EAA">
      <w:pPr>
        <w:pStyle w:val="Prrafodelista"/>
        <w:numPr>
          <w:ilvl w:val="0"/>
          <w:numId w:val="29"/>
        </w:numPr>
        <w:ind w:left="567" w:hanging="567"/>
        <w:jc w:val="both"/>
        <w:rPr>
          <w:rFonts w:ascii="Tahoma" w:hAnsi="Tahoma" w:cs="Tahoma"/>
          <w:sz w:val="20"/>
          <w:szCs w:val="20"/>
        </w:rPr>
      </w:pPr>
      <w:r w:rsidRPr="00F10EAA">
        <w:rPr>
          <w:rFonts w:ascii="Tahoma" w:hAnsi="Tahoma" w:cs="Tahoma"/>
          <w:sz w:val="20"/>
          <w:szCs w:val="20"/>
        </w:rPr>
        <w:t xml:space="preserve">Mediante escritos presentados el 17 y 20 de noviembre de 2010, respectivamente, la Entidad comunicó a este Tribunal de Contrataciones del Estado, en adelante el Tribunal, las supuestas infracciones cometidas por la Consorcio al haber </w:t>
      </w:r>
      <w:r w:rsidRPr="00F10EAA">
        <w:rPr>
          <w:rFonts w:ascii="Tahoma" w:hAnsi="Tahoma" w:cs="Tahoma"/>
          <w:sz w:val="20"/>
          <w:szCs w:val="20"/>
          <w:lang w:eastAsia="es-PE"/>
        </w:rPr>
        <w:t xml:space="preserve">dado lugar a la </w:t>
      </w:r>
      <w:r w:rsidRPr="00F10EAA">
        <w:rPr>
          <w:rFonts w:ascii="Tahoma" w:hAnsi="Tahoma" w:cs="Tahoma"/>
          <w:sz w:val="20"/>
          <w:szCs w:val="20"/>
        </w:rPr>
        <w:t>resolución del contrato materia del presente proceso de selección; así como por la presentación de documentación falsa o inexacta, infracciones previstas en los literales b) e i) del numeral 51.1 del artículo 51 de la Ley y, en los literales b) e i) del numeral 1 del artículo 237 del Reglamento.</w:t>
      </w:r>
    </w:p>
    <w:p w:rsidR="00F10EAA" w:rsidRPr="00F10EAA" w:rsidRDefault="00F10EAA" w:rsidP="00F10EAA">
      <w:pPr>
        <w:pStyle w:val="Prrafodelista"/>
        <w:rPr>
          <w:rFonts w:ascii="Tahoma" w:hAnsi="Tahoma" w:cs="Tahoma"/>
          <w:sz w:val="20"/>
          <w:szCs w:val="20"/>
        </w:rPr>
      </w:pPr>
    </w:p>
    <w:p w:rsidR="00F10EAA" w:rsidRPr="00F10EAA" w:rsidRDefault="00F10EAA" w:rsidP="00F10EAA">
      <w:pPr>
        <w:pStyle w:val="Prrafodelista"/>
        <w:numPr>
          <w:ilvl w:val="0"/>
          <w:numId w:val="29"/>
        </w:numPr>
        <w:ind w:left="567" w:hanging="567"/>
        <w:jc w:val="both"/>
        <w:rPr>
          <w:rFonts w:ascii="Tahoma" w:hAnsi="Tahoma" w:cs="Tahoma"/>
          <w:sz w:val="20"/>
          <w:szCs w:val="20"/>
        </w:rPr>
      </w:pPr>
      <w:r w:rsidRPr="00F10EAA">
        <w:rPr>
          <w:rFonts w:ascii="Tahoma" w:hAnsi="Tahoma" w:cs="Tahoma"/>
          <w:sz w:val="20"/>
          <w:szCs w:val="20"/>
        </w:rPr>
        <w:t>Mediante decreto de fecha 24 de noviembre de 2010, el Tribunal requirió a la Entidad a fin que señalase si la controversia había sido sometida a proceso arbitral u otro mecanismo de solución de conflictos.</w:t>
      </w:r>
    </w:p>
    <w:p w:rsidR="00F10EAA" w:rsidRPr="00F10EAA" w:rsidRDefault="00F10EAA" w:rsidP="00F10EAA">
      <w:pPr>
        <w:pStyle w:val="Prrafodelista"/>
        <w:ind w:left="567"/>
        <w:rPr>
          <w:rFonts w:ascii="Tahoma" w:hAnsi="Tahoma" w:cs="Tahoma"/>
          <w:sz w:val="20"/>
          <w:szCs w:val="20"/>
        </w:rPr>
      </w:pPr>
    </w:p>
    <w:p w:rsidR="00F10EAA" w:rsidRPr="00F10EAA" w:rsidRDefault="00F10EAA" w:rsidP="00F10EAA">
      <w:pPr>
        <w:pStyle w:val="Prrafodelista"/>
        <w:numPr>
          <w:ilvl w:val="0"/>
          <w:numId w:val="29"/>
        </w:numPr>
        <w:ind w:left="567" w:hanging="567"/>
        <w:jc w:val="both"/>
        <w:rPr>
          <w:rFonts w:ascii="Tahoma" w:hAnsi="Tahoma" w:cs="Tahoma"/>
          <w:sz w:val="20"/>
          <w:szCs w:val="20"/>
        </w:rPr>
      </w:pPr>
      <w:r w:rsidRPr="00F10EAA">
        <w:rPr>
          <w:rFonts w:ascii="Tahoma" w:hAnsi="Tahoma" w:cs="Tahoma"/>
          <w:sz w:val="20"/>
          <w:szCs w:val="20"/>
        </w:rPr>
        <w:t>Con decreto de fecha 07 de enero de 2011, el Tribunal reiteró a la Entidad para que cumpliera con remitir la información y documentación requerida mediante decreto de fecha 24 de noviembre de 2010.</w:t>
      </w:r>
    </w:p>
    <w:p w:rsidR="00F10EAA" w:rsidRPr="00F10EAA" w:rsidRDefault="00F10EAA" w:rsidP="00F10EAA">
      <w:pPr>
        <w:pStyle w:val="Prrafodelista"/>
        <w:rPr>
          <w:rFonts w:ascii="Tahoma" w:hAnsi="Tahoma" w:cs="Tahoma"/>
          <w:sz w:val="20"/>
          <w:szCs w:val="20"/>
        </w:rPr>
      </w:pPr>
    </w:p>
    <w:p w:rsidR="00F10EAA" w:rsidRPr="00F10EAA" w:rsidRDefault="00F10EAA" w:rsidP="00F10EAA">
      <w:pPr>
        <w:pStyle w:val="Prrafodelista"/>
        <w:numPr>
          <w:ilvl w:val="0"/>
          <w:numId w:val="29"/>
        </w:numPr>
        <w:ind w:left="567" w:hanging="567"/>
        <w:jc w:val="both"/>
        <w:rPr>
          <w:rFonts w:ascii="Tahoma" w:hAnsi="Tahoma" w:cs="Tahoma"/>
          <w:sz w:val="20"/>
          <w:szCs w:val="20"/>
        </w:rPr>
      </w:pPr>
      <w:r w:rsidRPr="00F10EAA">
        <w:rPr>
          <w:rFonts w:ascii="Tahoma" w:hAnsi="Tahoma" w:cs="Tahoma"/>
          <w:sz w:val="20"/>
          <w:szCs w:val="20"/>
        </w:rPr>
        <w:t>A través del decreto de fecha 21 de enero de 2011, se hizo efectivo el apercibimiento de resolver con la documentación obrante en autos y se remitió el presente expediente a la Primera Sala del Tribunal, toda vez que la Entidad no cumplió con remitir la documentación solicitada de manera reiterada mediante decreto de fecha 24 de noviembre de 2010 y 07 de enero de 2011.</w:t>
      </w:r>
    </w:p>
    <w:p w:rsidR="00F10EAA" w:rsidRPr="00F10EAA" w:rsidRDefault="00F10EAA" w:rsidP="00F10EAA">
      <w:pPr>
        <w:pStyle w:val="Prrafodelista"/>
        <w:rPr>
          <w:rFonts w:ascii="Tahoma" w:hAnsi="Tahoma" w:cs="Tahoma"/>
          <w:sz w:val="20"/>
          <w:szCs w:val="20"/>
        </w:rPr>
      </w:pPr>
    </w:p>
    <w:p w:rsidR="00F10EAA" w:rsidRPr="00F10EAA" w:rsidRDefault="00F10EAA" w:rsidP="00F10EAA">
      <w:pPr>
        <w:pStyle w:val="Prrafodelista"/>
        <w:numPr>
          <w:ilvl w:val="0"/>
          <w:numId w:val="29"/>
        </w:numPr>
        <w:ind w:left="567" w:hanging="567"/>
        <w:jc w:val="both"/>
        <w:rPr>
          <w:rFonts w:ascii="Tahoma" w:hAnsi="Tahoma" w:cs="Tahoma"/>
          <w:sz w:val="20"/>
          <w:szCs w:val="20"/>
        </w:rPr>
      </w:pPr>
      <w:r w:rsidRPr="00F10EAA">
        <w:rPr>
          <w:rFonts w:ascii="Tahoma" w:hAnsi="Tahoma" w:cs="Tahoma"/>
          <w:sz w:val="20"/>
          <w:szCs w:val="20"/>
        </w:rPr>
        <w:t xml:space="preserve">Con decreto de fecha 31 de enero de 2011, se solicitó información adicional a la Entidad, a fin de que remitiera la carta notarial de resolución de contrato debidamente diligenciada vía conducto notarial. Sin embargo, la Entidad no cumplió con remitir lo </w:t>
      </w:r>
      <w:r w:rsidRPr="00F10EAA">
        <w:rPr>
          <w:rFonts w:ascii="Tahoma" w:hAnsi="Tahoma" w:cs="Tahoma"/>
          <w:sz w:val="20"/>
          <w:szCs w:val="20"/>
        </w:rPr>
        <w:lastRenderedPageBreak/>
        <w:t>solicitado, razón por la cual, mediante decreto de fecha 15 de febrero de 2011, se reiteró a fin que cumpla con presentar lo requerido mediante decreto de fecha 31 de enero de 2011.</w:t>
      </w:r>
    </w:p>
    <w:p w:rsidR="00F10EAA" w:rsidRPr="00F10EAA" w:rsidRDefault="00F10EAA" w:rsidP="00F10EAA">
      <w:pPr>
        <w:pStyle w:val="Prrafodelista"/>
        <w:tabs>
          <w:tab w:val="left" w:pos="-2340"/>
        </w:tabs>
        <w:ind w:left="567"/>
        <w:rPr>
          <w:rFonts w:ascii="Tahoma" w:hAnsi="Tahoma" w:cs="Tahoma"/>
          <w:sz w:val="20"/>
          <w:szCs w:val="20"/>
        </w:rPr>
      </w:pPr>
    </w:p>
    <w:p w:rsidR="00F10EAA" w:rsidRPr="00F10EAA" w:rsidRDefault="00F10EAA" w:rsidP="00F10EAA">
      <w:pPr>
        <w:pStyle w:val="Prrafodelista"/>
        <w:numPr>
          <w:ilvl w:val="0"/>
          <w:numId w:val="29"/>
        </w:numPr>
        <w:tabs>
          <w:tab w:val="left" w:pos="-2340"/>
        </w:tabs>
        <w:ind w:left="567" w:hanging="567"/>
        <w:jc w:val="both"/>
        <w:rPr>
          <w:rFonts w:ascii="Tahoma" w:hAnsi="Tahoma" w:cs="Tahoma"/>
          <w:sz w:val="20"/>
          <w:szCs w:val="20"/>
        </w:rPr>
      </w:pPr>
      <w:r w:rsidRPr="00F10EAA">
        <w:rPr>
          <w:rFonts w:ascii="Tahoma" w:hAnsi="Tahoma" w:cs="Tahoma"/>
          <w:sz w:val="20"/>
          <w:szCs w:val="20"/>
        </w:rPr>
        <w:t xml:space="preserve">A través del Oficio № 042-2011-AC-MDC presentado el 22 de febrero de 2011, la Entidad remitió la Carta </w:t>
      </w:r>
      <w:r w:rsidRPr="00F10EAA">
        <w:rPr>
          <w:rFonts w:ascii="Tahoma" w:hAnsi="Tahoma" w:cs="Tahoma"/>
          <w:color w:val="000000"/>
          <w:sz w:val="20"/>
          <w:szCs w:val="20"/>
        </w:rPr>
        <w:t>№ 016-2010-GM/MDC de fecha 16 de agosto del 2010, mediante la cual comunicó al Consorcio la resolución del Contrato, con la constancia notarial de su diligenciamiento.</w:t>
      </w:r>
    </w:p>
    <w:p w:rsidR="00F10EAA" w:rsidRPr="00F10EAA" w:rsidRDefault="00F10EAA" w:rsidP="00F10EAA">
      <w:pPr>
        <w:pStyle w:val="Prrafodelista"/>
        <w:rPr>
          <w:rFonts w:ascii="Tahoma" w:hAnsi="Tahoma" w:cs="Tahoma"/>
          <w:sz w:val="20"/>
          <w:szCs w:val="20"/>
        </w:rPr>
      </w:pPr>
    </w:p>
    <w:p w:rsidR="00F10EAA" w:rsidRPr="00F10EAA" w:rsidRDefault="00F10EAA" w:rsidP="00F10EAA">
      <w:pPr>
        <w:pStyle w:val="Prrafodelista"/>
        <w:numPr>
          <w:ilvl w:val="0"/>
          <w:numId w:val="29"/>
        </w:numPr>
        <w:ind w:left="567" w:hanging="567"/>
        <w:jc w:val="both"/>
        <w:rPr>
          <w:rFonts w:ascii="Tahoma" w:hAnsi="Tahoma" w:cs="Tahoma"/>
          <w:sz w:val="20"/>
          <w:szCs w:val="20"/>
        </w:rPr>
      </w:pPr>
      <w:r w:rsidRPr="00F10EAA">
        <w:rPr>
          <w:rFonts w:ascii="Tahoma" w:hAnsi="Tahoma" w:cs="Tahoma"/>
          <w:sz w:val="20"/>
          <w:szCs w:val="20"/>
        </w:rPr>
        <w:t xml:space="preserve">Mediante el Acuerdo № 122/2011.TC-S1 de fecha 22 de febrero de 2011, notificado el 26 de marzo del mismo año, el Tribunal acordó iniciar procedimiento administrativo sancionador contra el Consorcio, por su supuesta responsabilidad </w:t>
      </w:r>
      <w:r w:rsidRPr="00F10EAA">
        <w:rPr>
          <w:rFonts w:ascii="Tahoma" w:hAnsi="Tahoma" w:cs="Tahoma"/>
          <w:sz w:val="20"/>
          <w:szCs w:val="20"/>
          <w:lang w:val="es-PE"/>
        </w:rPr>
        <w:t>la resolución del Contrato de fecha 18 de diciembre de 2009, así como por la presentación de supuesta documentación falsa y/o inexacta, consistente en las Cartas Fianzas № № 00702-2009, № 0073-2010 y № 0072-2010</w:t>
      </w:r>
      <w:r w:rsidRPr="00F10EAA">
        <w:rPr>
          <w:rFonts w:ascii="Tahoma" w:hAnsi="Tahoma" w:cs="Tahoma"/>
          <w:sz w:val="20"/>
          <w:szCs w:val="20"/>
        </w:rPr>
        <w:t>, causales de sanción previstas en los literales b) e i) del numeral 51.1 del artículo 51 de la Ley en concordancia con los literales b) e i) del numeral 1 del artículo 237 del Reglamento.</w:t>
      </w:r>
    </w:p>
    <w:p w:rsidR="00F10EAA" w:rsidRPr="00F10EAA" w:rsidRDefault="00F10EAA" w:rsidP="00F10EAA">
      <w:pPr>
        <w:pStyle w:val="Prrafodelista"/>
        <w:rPr>
          <w:rFonts w:ascii="Tahoma" w:hAnsi="Tahoma" w:cs="Tahoma"/>
          <w:sz w:val="20"/>
          <w:szCs w:val="20"/>
        </w:rPr>
      </w:pPr>
    </w:p>
    <w:p w:rsidR="00F10EAA" w:rsidRPr="00F10EAA" w:rsidRDefault="00F10EAA" w:rsidP="00F10EAA">
      <w:pPr>
        <w:pStyle w:val="Prrafodelista"/>
        <w:numPr>
          <w:ilvl w:val="0"/>
          <w:numId w:val="29"/>
        </w:numPr>
        <w:ind w:left="567" w:hanging="567"/>
        <w:jc w:val="both"/>
        <w:rPr>
          <w:rFonts w:ascii="Tahoma" w:hAnsi="Tahoma" w:cs="Tahoma"/>
          <w:sz w:val="20"/>
          <w:szCs w:val="20"/>
        </w:rPr>
      </w:pPr>
      <w:r w:rsidRPr="00F10EAA">
        <w:rPr>
          <w:rFonts w:ascii="Tahoma" w:hAnsi="Tahoma" w:cs="Tahoma"/>
          <w:sz w:val="20"/>
          <w:szCs w:val="20"/>
        </w:rPr>
        <w:t xml:space="preserve">Con decreto de fecha 01 de marzo de 2011, el Tribunal inició el procedimiento administrativo sancionador contra los integrantes del Consorcio por su supuesta responsabilidad en la resolución del Contrato de fecha 18 de diciembre de 2009, derivado de la Adjudicación Directa Pública № 001-2009-MDC/CEP, primera convocatoria, por causal atribuible a su parte, así como por haber presentado las </w:t>
      </w:r>
      <w:r w:rsidRPr="00F10EAA">
        <w:rPr>
          <w:rFonts w:ascii="Tahoma" w:hAnsi="Tahoma" w:cs="Tahoma"/>
          <w:sz w:val="20"/>
          <w:szCs w:val="20"/>
          <w:lang w:val="es-PE"/>
        </w:rPr>
        <w:t>Cartas Fianzas №  00702-2009, № 0073-2010 y № 0072-2010</w:t>
      </w:r>
      <w:r w:rsidRPr="00F10EAA">
        <w:rPr>
          <w:rFonts w:ascii="Tahoma" w:hAnsi="Tahoma" w:cs="Tahoma"/>
          <w:sz w:val="20"/>
          <w:szCs w:val="20"/>
        </w:rPr>
        <w:t>, emitidas por la Caja Municipal del Santa S.A., documentos supuestamente falsos y/o inexactos, infracciones tipificadas en los literales b) e i) del numeral 51.1 del artículo 51 de la Ley en concordancia con los literales b) e i) del numeral 1 del artículo 237 del Reglamento. Asimismo, se les otorgó el plazo de diez días (10) hábiles para que presentaran sus descargos, bajo apercibimiento de resolver con la documentación obrante en autos.</w:t>
      </w:r>
    </w:p>
    <w:p w:rsidR="00F10EAA" w:rsidRPr="00F10EAA" w:rsidRDefault="00F10EAA" w:rsidP="00F10EAA">
      <w:pPr>
        <w:pStyle w:val="Prrafodelista"/>
        <w:rPr>
          <w:rFonts w:ascii="Tahoma" w:hAnsi="Tahoma" w:cs="Tahoma"/>
          <w:sz w:val="20"/>
          <w:szCs w:val="20"/>
        </w:rPr>
      </w:pPr>
    </w:p>
    <w:p w:rsidR="00F10EAA" w:rsidRPr="00F10EAA" w:rsidRDefault="00F10EAA" w:rsidP="00F10EAA">
      <w:pPr>
        <w:pStyle w:val="Prrafodelista"/>
        <w:numPr>
          <w:ilvl w:val="0"/>
          <w:numId w:val="29"/>
        </w:numPr>
        <w:ind w:left="567" w:hanging="567"/>
        <w:jc w:val="both"/>
        <w:rPr>
          <w:rFonts w:ascii="Tahoma" w:hAnsi="Tahoma" w:cs="Tahoma"/>
          <w:sz w:val="20"/>
          <w:szCs w:val="20"/>
        </w:rPr>
      </w:pPr>
      <w:r w:rsidRPr="00F10EAA">
        <w:rPr>
          <w:rFonts w:ascii="Tahoma" w:hAnsi="Tahoma" w:cs="Tahoma"/>
          <w:sz w:val="20"/>
          <w:szCs w:val="20"/>
        </w:rPr>
        <w:t>El 08 de abril de 2011, a través de los escritos, las empresas SERVIL CONSTRUCCIONES S.A.C. y CONSTRUCTORA Y SERVICIOS C &amp; C S.R.L. integrantes del Consorcio presentaron su escrito de descargos, bajo los siguientes términos:</w:t>
      </w:r>
    </w:p>
    <w:p w:rsidR="00F10EAA" w:rsidRPr="00F10EAA" w:rsidRDefault="00F10EAA" w:rsidP="00F10EAA">
      <w:pPr>
        <w:pStyle w:val="Prrafodelista"/>
        <w:rPr>
          <w:rFonts w:ascii="Tahoma" w:hAnsi="Tahoma" w:cs="Tahoma"/>
          <w:sz w:val="20"/>
          <w:szCs w:val="20"/>
        </w:rPr>
      </w:pPr>
    </w:p>
    <w:p w:rsidR="00F10EAA" w:rsidRPr="00F10EAA" w:rsidRDefault="00F10EAA" w:rsidP="00F10EAA">
      <w:pPr>
        <w:numPr>
          <w:ilvl w:val="0"/>
          <w:numId w:val="24"/>
        </w:numPr>
        <w:ind w:left="1134" w:hanging="283"/>
        <w:jc w:val="both"/>
        <w:rPr>
          <w:rFonts w:ascii="Tahoma" w:hAnsi="Tahoma" w:cs="Tahoma"/>
          <w:sz w:val="20"/>
          <w:szCs w:val="20"/>
        </w:rPr>
      </w:pPr>
      <w:r w:rsidRPr="00F10EAA">
        <w:rPr>
          <w:rFonts w:ascii="Tahoma" w:hAnsi="Tahoma" w:cs="Tahoma"/>
          <w:sz w:val="20"/>
          <w:szCs w:val="20"/>
        </w:rPr>
        <w:t>Con relación a la supuesta causal de resolución de contrato, debemos señalar que de acuerdo a nuestra promesa formal de consorcio y contrato de consorcio, las partes que integran el consorcio presentan sus obligaciones de la siguiente manera: (i) CONSTRUCCIONES &amp; FABRICACIONES JENCERPE E.I.R.L. (50% de participación), SERVIL CONSTRUCCIONES S.A.C. (40 % de participación) y CONSTRUCTORA Y SERVICIOS C &amp; C S.R.L.,. (10 % de participación) (sic)</w:t>
      </w:r>
    </w:p>
    <w:p w:rsidR="00F10EAA" w:rsidRPr="00F10EAA" w:rsidRDefault="00F10EAA" w:rsidP="00F10EAA">
      <w:pPr>
        <w:ind w:left="1134" w:hanging="283"/>
        <w:rPr>
          <w:rFonts w:ascii="Tahoma" w:hAnsi="Tahoma" w:cs="Tahoma"/>
          <w:sz w:val="20"/>
          <w:szCs w:val="20"/>
        </w:rPr>
      </w:pPr>
    </w:p>
    <w:p w:rsidR="00F10EAA" w:rsidRPr="00F10EAA" w:rsidRDefault="00F10EAA" w:rsidP="00F10EAA">
      <w:pPr>
        <w:numPr>
          <w:ilvl w:val="0"/>
          <w:numId w:val="24"/>
        </w:numPr>
        <w:ind w:left="1134" w:hanging="283"/>
        <w:jc w:val="both"/>
        <w:rPr>
          <w:rFonts w:ascii="Tahoma" w:hAnsi="Tahoma" w:cs="Tahoma"/>
          <w:sz w:val="20"/>
          <w:szCs w:val="20"/>
        </w:rPr>
      </w:pPr>
      <w:r w:rsidRPr="00F10EAA">
        <w:rPr>
          <w:rFonts w:ascii="Tahoma" w:hAnsi="Tahoma" w:cs="Tahoma"/>
          <w:sz w:val="20"/>
          <w:szCs w:val="20"/>
        </w:rPr>
        <w:t>Así pues, que de acuerdo a las obligaciones asumidas por las empresas que integran el presente consorcio, la empresa CONSTRUCCIONES &amp; FABRICACIONES JENCERPE E.I.R.L., tenía el 50% de obligaciones para la ejecución del contrato, así como la empresa encargada de la presentación de las cartas fianzas para la etapa de ejecución contractual. (sic)</w:t>
      </w:r>
    </w:p>
    <w:p w:rsidR="00F10EAA" w:rsidRPr="00F10EAA" w:rsidRDefault="00F10EAA" w:rsidP="00F10EAA">
      <w:pPr>
        <w:pStyle w:val="Prrafodelista"/>
        <w:rPr>
          <w:rFonts w:ascii="Tahoma" w:hAnsi="Tahoma" w:cs="Tahoma"/>
          <w:sz w:val="20"/>
          <w:szCs w:val="20"/>
        </w:rPr>
      </w:pPr>
    </w:p>
    <w:p w:rsidR="00F10EAA" w:rsidRPr="00F10EAA" w:rsidRDefault="00F10EAA" w:rsidP="00F10EAA">
      <w:pPr>
        <w:numPr>
          <w:ilvl w:val="0"/>
          <w:numId w:val="24"/>
        </w:numPr>
        <w:ind w:left="1134" w:hanging="283"/>
        <w:jc w:val="both"/>
        <w:rPr>
          <w:rFonts w:ascii="Tahoma" w:hAnsi="Tahoma" w:cs="Tahoma"/>
          <w:sz w:val="20"/>
          <w:szCs w:val="20"/>
        </w:rPr>
      </w:pPr>
      <w:r w:rsidRPr="00F10EAA">
        <w:rPr>
          <w:rFonts w:ascii="Tahoma" w:hAnsi="Tahoma" w:cs="Tahoma"/>
          <w:sz w:val="20"/>
          <w:szCs w:val="20"/>
        </w:rPr>
        <w:t xml:space="preserve">En efecto, la empresa CONSTRUCCIONES &amp; FABRICACIONES JENCERPE E.I.R.L. presentó las </w:t>
      </w:r>
      <w:r w:rsidRPr="00F10EAA">
        <w:rPr>
          <w:rFonts w:ascii="Tahoma" w:hAnsi="Tahoma" w:cs="Tahoma"/>
          <w:sz w:val="20"/>
          <w:szCs w:val="20"/>
          <w:lang w:val="es-PE"/>
        </w:rPr>
        <w:t>Cartas Fianzas №  00702-2009, № 0073-2010 y № 0072-2010</w:t>
      </w:r>
      <w:r w:rsidRPr="00F10EAA">
        <w:rPr>
          <w:rFonts w:ascii="Tahoma" w:hAnsi="Tahoma" w:cs="Tahoma"/>
          <w:sz w:val="20"/>
          <w:szCs w:val="20"/>
        </w:rPr>
        <w:t xml:space="preserve">, </w:t>
      </w:r>
      <w:r w:rsidRPr="00F10EAA">
        <w:rPr>
          <w:rFonts w:ascii="Tahoma" w:hAnsi="Tahoma" w:cs="Tahoma"/>
          <w:sz w:val="20"/>
          <w:szCs w:val="20"/>
        </w:rPr>
        <w:lastRenderedPageBreak/>
        <w:t>emitidas por la Caja Municipal del Santa S.A., lo cual en forma irresponsable utilizó sólo una parte para la ejecución de la obra, descuidando su ejecución, hecho que tuvo como consecuencia que la Entidad le resolviera el contrato al haber acumulado la penalidad máximo de mora. (sic)</w:t>
      </w:r>
    </w:p>
    <w:p w:rsidR="00F10EAA" w:rsidRPr="00F10EAA" w:rsidRDefault="00F10EAA" w:rsidP="00F10EAA">
      <w:pPr>
        <w:pStyle w:val="Prrafodelista"/>
        <w:rPr>
          <w:rFonts w:ascii="Tahoma" w:hAnsi="Tahoma" w:cs="Tahoma"/>
          <w:sz w:val="20"/>
          <w:szCs w:val="20"/>
        </w:rPr>
      </w:pPr>
    </w:p>
    <w:p w:rsidR="00F10EAA" w:rsidRPr="00F10EAA" w:rsidRDefault="00F10EAA" w:rsidP="00F10EAA">
      <w:pPr>
        <w:numPr>
          <w:ilvl w:val="0"/>
          <w:numId w:val="24"/>
        </w:numPr>
        <w:ind w:left="1134" w:hanging="283"/>
        <w:jc w:val="both"/>
        <w:rPr>
          <w:rFonts w:ascii="Tahoma" w:hAnsi="Tahoma" w:cs="Tahoma"/>
          <w:sz w:val="20"/>
          <w:szCs w:val="20"/>
        </w:rPr>
      </w:pPr>
      <w:r w:rsidRPr="00F10EAA">
        <w:rPr>
          <w:rFonts w:ascii="Tahoma" w:hAnsi="Tahoma" w:cs="Tahoma"/>
          <w:sz w:val="20"/>
          <w:szCs w:val="20"/>
        </w:rPr>
        <w:t>Al respecto, dentro de este contexto, solicitamos al Tribunal la individualización de la infracción de acuerdo al artículo 239 del Reglamento, toda vez que la empresa CONSTRUCCIONES &amp; FABRICACIONES JENCERPE E.I.R.L. (integrante del Consorcio) es la que tiene responsabilidad en la resolución del contrato, mientras que las empresas SERVIL CONSTRUCCIONES S.A.C. y CONSTRUCTORA Y SERVICIOS C &amp; C S.R.L. (integrantes del Consorcio) no tienen ninguna  responsabilidad en este supuesto de hecho sancionable. (sic)</w:t>
      </w:r>
    </w:p>
    <w:p w:rsidR="00F10EAA" w:rsidRPr="00F10EAA" w:rsidRDefault="00F10EAA" w:rsidP="00F10EAA">
      <w:pPr>
        <w:pStyle w:val="Prrafodelista"/>
        <w:rPr>
          <w:rFonts w:ascii="Tahoma" w:hAnsi="Tahoma" w:cs="Tahoma"/>
          <w:sz w:val="20"/>
          <w:szCs w:val="20"/>
        </w:rPr>
      </w:pPr>
    </w:p>
    <w:p w:rsidR="00F10EAA" w:rsidRPr="00F10EAA" w:rsidRDefault="00F10EAA" w:rsidP="00F10EAA">
      <w:pPr>
        <w:numPr>
          <w:ilvl w:val="0"/>
          <w:numId w:val="24"/>
        </w:numPr>
        <w:ind w:left="1134" w:hanging="283"/>
        <w:jc w:val="both"/>
        <w:rPr>
          <w:rFonts w:ascii="Tahoma" w:hAnsi="Tahoma" w:cs="Tahoma"/>
          <w:sz w:val="20"/>
          <w:szCs w:val="20"/>
        </w:rPr>
      </w:pPr>
      <w:r w:rsidRPr="00F10EAA">
        <w:rPr>
          <w:rFonts w:ascii="Tahoma" w:hAnsi="Tahoma" w:cs="Tahoma"/>
          <w:sz w:val="20"/>
          <w:szCs w:val="20"/>
        </w:rPr>
        <w:t>De otro lado, con relación a la presentación de documentación falsa y/o inexacta, de acuerdo al artículo 62 del Reglamento, la empresa  CONSTRUCCIONES &amp; FABRICACIONES JENCERPE E.I.R.L. (integrante del Consorcio) es la responsable sobre la veracidad de los documentos presentados en la etapa de ejecución contractual de acuerdo a la Cláusula Cuarta del Contrato de Consorcio. Asimismo, este hecho fue denunciado ante el Ministerio Público por parte de la empresa CONSTRUCTORA Y SERVICIOS C &amp; C S.R.L.  (integrante del Consorcio). (sic)</w:t>
      </w:r>
    </w:p>
    <w:p w:rsidR="00F10EAA" w:rsidRPr="00F10EAA" w:rsidRDefault="00F10EAA" w:rsidP="00F10EAA">
      <w:pPr>
        <w:pStyle w:val="Prrafodelista"/>
        <w:ind w:left="1134" w:hanging="283"/>
        <w:rPr>
          <w:rFonts w:ascii="Tahoma" w:hAnsi="Tahoma" w:cs="Tahoma"/>
          <w:sz w:val="20"/>
          <w:szCs w:val="20"/>
        </w:rPr>
      </w:pPr>
    </w:p>
    <w:p w:rsidR="00F10EAA" w:rsidRPr="00F10EAA" w:rsidRDefault="00F10EAA" w:rsidP="00F10EAA">
      <w:pPr>
        <w:numPr>
          <w:ilvl w:val="0"/>
          <w:numId w:val="24"/>
        </w:numPr>
        <w:ind w:left="1134" w:hanging="283"/>
        <w:jc w:val="both"/>
        <w:rPr>
          <w:rFonts w:ascii="Tahoma" w:hAnsi="Tahoma" w:cs="Tahoma"/>
          <w:sz w:val="20"/>
          <w:szCs w:val="20"/>
        </w:rPr>
      </w:pPr>
      <w:r w:rsidRPr="00F10EAA">
        <w:rPr>
          <w:rFonts w:ascii="Tahoma" w:hAnsi="Tahoma" w:cs="Tahoma"/>
          <w:sz w:val="20"/>
          <w:szCs w:val="20"/>
        </w:rPr>
        <w:t>Finalmente, las empresas antes mencionadas solicitaron se declare no ha lugar a la imposición de sanción administrativa.</w:t>
      </w:r>
    </w:p>
    <w:p w:rsidR="00F10EAA" w:rsidRPr="00F10EAA" w:rsidRDefault="00F10EAA" w:rsidP="00F10EAA">
      <w:pPr>
        <w:pStyle w:val="Prrafodelista"/>
        <w:rPr>
          <w:rFonts w:ascii="Tahoma" w:hAnsi="Tahoma" w:cs="Tahoma"/>
          <w:sz w:val="20"/>
          <w:szCs w:val="20"/>
        </w:rPr>
      </w:pPr>
    </w:p>
    <w:p w:rsidR="00F10EAA" w:rsidRPr="00F10EAA" w:rsidRDefault="00F10EAA" w:rsidP="00F10EAA">
      <w:pPr>
        <w:widowControl w:val="0"/>
        <w:numPr>
          <w:ilvl w:val="0"/>
          <w:numId w:val="29"/>
        </w:numPr>
        <w:autoSpaceDE w:val="0"/>
        <w:autoSpaceDN w:val="0"/>
        <w:adjustRightInd w:val="0"/>
        <w:ind w:left="567" w:hanging="567"/>
        <w:jc w:val="both"/>
        <w:rPr>
          <w:rFonts w:ascii="Tahoma" w:hAnsi="Tahoma" w:cs="Tahoma"/>
          <w:sz w:val="20"/>
          <w:szCs w:val="20"/>
        </w:rPr>
      </w:pPr>
      <w:r w:rsidRPr="00F10EAA">
        <w:rPr>
          <w:rFonts w:ascii="Tahoma" w:hAnsi="Tahoma" w:cs="Tahoma"/>
          <w:sz w:val="20"/>
          <w:szCs w:val="20"/>
        </w:rPr>
        <w:t xml:space="preserve">El 11 de abril de 2011, </w:t>
      </w:r>
      <w:r w:rsidRPr="00F10EAA">
        <w:rPr>
          <w:rFonts w:ascii="Tahoma" w:hAnsi="Tahoma" w:cs="Tahoma"/>
          <w:color w:val="000000"/>
          <w:sz w:val="20"/>
          <w:szCs w:val="20"/>
        </w:rPr>
        <w:t xml:space="preserve">venció el plazo para que la empresa CONSTRUCCIONES &amp; FABRICACIONES JENCERPE E.I.R.L. </w:t>
      </w:r>
      <w:r w:rsidRPr="00F10EAA">
        <w:rPr>
          <w:rFonts w:ascii="Tahoma" w:hAnsi="Tahoma" w:cs="Tahoma"/>
          <w:sz w:val="20"/>
          <w:szCs w:val="20"/>
        </w:rPr>
        <w:t>(integrante del Consorcio)</w:t>
      </w:r>
      <w:r w:rsidRPr="00F10EAA">
        <w:rPr>
          <w:rFonts w:ascii="Tahoma" w:hAnsi="Tahoma" w:cs="Tahoma"/>
          <w:color w:val="000000"/>
          <w:sz w:val="20"/>
          <w:szCs w:val="20"/>
        </w:rPr>
        <w:t xml:space="preserve"> presentara sus descargos, razón por la que, mediante decreto de fecha 14 de abril de 2011, se hizo efectivo el apercibimiento decretado de resolver con la documentación obrante en autos. Asimismo, </w:t>
      </w:r>
      <w:r w:rsidRPr="00F10EAA">
        <w:rPr>
          <w:rFonts w:ascii="Tahoma" w:hAnsi="Tahoma" w:cs="Tahoma"/>
          <w:sz w:val="20"/>
          <w:szCs w:val="20"/>
        </w:rPr>
        <w:t>se tuvo por apersonada a las empresas SERVIL CONSTRUCCIONES S.A.C. y CONSTRUCTORA Y SERVICIOS C &amp; C S.R.L., integrantes del Consorcio a la instancia administrativa, y se remitió el expediente a la Primera Sala del Tribunal para que resolviera.</w:t>
      </w:r>
    </w:p>
    <w:p w:rsidR="00F10EAA" w:rsidRPr="00F10EAA" w:rsidRDefault="00F10EAA" w:rsidP="00F10EAA">
      <w:pPr>
        <w:widowControl w:val="0"/>
        <w:autoSpaceDE w:val="0"/>
        <w:autoSpaceDN w:val="0"/>
        <w:adjustRightInd w:val="0"/>
        <w:ind w:left="567"/>
        <w:rPr>
          <w:rFonts w:ascii="Tahoma" w:hAnsi="Tahoma" w:cs="Tahoma"/>
          <w:sz w:val="20"/>
          <w:szCs w:val="20"/>
        </w:rPr>
      </w:pPr>
    </w:p>
    <w:p w:rsidR="00F10EAA" w:rsidRPr="00F10EAA" w:rsidRDefault="00F10EAA" w:rsidP="00F10EAA">
      <w:pPr>
        <w:widowControl w:val="0"/>
        <w:numPr>
          <w:ilvl w:val="0"/>
          <w:numId w:val="29"/>
        </w:numPr>
        <w:autoSpaceDE w:val="0"/>
        <w:autoSpaceDN w:val="0"/>
        <w:adjustRightInd w:val="0"/>
        <w:ind w:left="567" w:hanging="567"/>
        <w:jc w:val="both"/>
        <w:rPr>
          <w:rFonts w:ascii="Tahoma" w:hAnsi="Tahoma" w:cs="Tahoma"/>
          <w:sz w:val="20"/>
          <w:szCs w:val="20"/>
          <w:shd w:val="clear" w:color="auto" w:fill="FFFFFF"/>
        </w:rPr>
      </w:pPr>
      <w:r w:rsidRPr="00F10EAA">
        <w:rPr>
          <w:rFonts w:ascii="Tahoma" w:hAnsi="Tahoma" w:cs="Tahoma"/>
          <w:sz w:val="20"/>
          <w:szCs w:val="20"/>
        </w:rPr>
        <w:t xml:space="preserve">Mediante Resolución № 823-2011-TC-S1 del 17 de mayo de 2011, el Tribunal impuso a las empresas SERVIL CONSTRUCCIONES S.A.C. Y CONSTRUCTORA Y SERVICIOS C &amp; C S.R.L. (integrantes del Consorcio La Alameda) sanción administrativa de inhabilitación temporal por el periodo de catorce (14) meses en sus derechos de participar en procesos de selección y contratar con el Estado, por haber incurrido en la </w:t>
      </w:r>
      <w:r w:rsidRPr="00F10EAA">
        <w:rPr>
          <w:rFonts w:ascii="Tahoma" w:hAnsi="Tahoma" w:cs="Tahoma"/>
          <w:sz w:val="20"/>
          <w:szCs w:val="20"/>
          <w:lang w:val="es-ES_tradnl"/>
        </w:rPr>
        <w:t xml:space="preserve">responsabilidad </w:t>
      </w:r>
      <w:r w:rsidRPr="00F10EAA">
        <w:rPr>
          <w:rFonts w:ascii="Tahoma" w:hAnsi="Tahoma" w:cs="Tahoma"/>
          <w:sz w:val="20"/>
          <w:szCs w:val="20"/>
        </w:rPr>
        <w:t xml:space="preserve">en dar lugar a la resolución del contrato por causal atribuible a su parte; infracción tipificada en </w:t>
      </w:r>
      <w:r w:rsidRPr="00F10EAA">
        <w:rPr>
          <w:rFonts w:ascii="Tahoma" w:hAnsi="Tahoma" w:cs="Tahoma"/>
          <w:bCs/>
          <w:sz w:val="20"/>
          <w:szCs w:val="20"/>
        </w:rPr>
        <w:t>el literal b) del numeral 51.1 del artículo 51 de la Ley de Contrataciones del Estado; así también, dispuso imponer a la em</w:t>
      </w:r>
      <w:r w:rsidRPr="00F10EAA">
        <w:rPr>
          <w:rFonts w:ascii="Tahoma" w:hAnsi="Tahoma" w:cs="Tahoma"/>
          <w:sz w:val="20"/>
          <w:szCs w:val="20"/>
        </w:rPr>
        <w:t xml:space="preserve">presa CONSTRUCCIONES &amp; FABRICACIONES JENCERPE E.I.R.L. (integrantes del Consorcio La Alameda) sanción administrativa de inhabilitación temporal por el periodo de dieciocho (18) meses en sus derechos de participar en procesos de selección y contratar con el Estado, por haber presentado documentación falsa ante la Entidad,  supuesto de hecho tipificado en el literal i) del numeral 51.1 del artículo 51 de la Ley. </w:t>
      </w:r>
    </w:p>
    <w:p w:rsidR="00F10EAA" w:rsidRPr="00F10EAA" w:rsidRDefault="00F10EAA" w:rsidP="00F10EAA">
      <w:pPr>
        <w:pStyle w:val="Prrafodelista"/>
        <w:jc w:val="both"/>
        <w:rPr>
          <w:rFonts w:ascii="Tahoma" w:hAnsi="Tahoma" w:cs="Tahoma"/>
          <w:sz w:val="20"/>
          <w:szCs w:val="20"/>
          <w:shd w:val="clear" w:color="auto" w:fill="FFFFFF"/>
        </w:rPr>
      </w:pPr>
    </w:p>
    <w:p w:rsidR="00F10EAA" w:rsidRPr="00F10EAA" w:rsidRDefault="00F10EAA" w:rsidP="00F10EAA">
      <w:pPr>
        <w:widowControl w:val="0"/>
        <w:autoSpaceDE w:val="0"/>
        <w:autoSpaceDN w:val="0"/>
        <w:adjustRightInd w:val="0"/>
        <w:ind w:left="567"/>
        <w:jc w:val="both"/>
        <w:rPr>
          <w:rFonts w:ascii="Tahoma" w:hAnsi="Tahoma" w:cs="Tahoma"/>
          <w:sz w:val="20"/>
          <w:szCs w:val="20"/>
          <w:shd w:val="clear" w:color="auto" w:fill="FFFFFF"/>
        </w:rPr>
      </w:pPr>
      <w:r w:rsidRPr="00F10EAA">
        <w:rPr>
          <w:rFonts w:ascii="Tahoma" w:hAnsi="Tahoma" w:cs="Tahoma"/>
          <w:sz w:val="20"/>
          <w:szCs w:val="20"/>
          <w:shd w:val="clear" w:color="auto" w:fill="FFFFFF"/>
        </w:rPr>
        <w:t xml:space="preserve">En dicha oportunidad, el Tribunal determinó que el Consorcio (integrado por las empresas CONSTRUCCIONES &amp; FABRICACIONES JENCERPE E.I.R.L., SERVIL </w:t>
      </w:r>
      <w:r w:rsidRPr="00F10EAA">
        <w:rPr>
          <w:rFonts w:ascii="Tahoma" w:hAnsi="Tahoma" w:cs="Tahoma"/>
          <w:sz w:val="20"/>
          <w:szCs w:val="20"/>
          <w:shd w:val="clear" w:color="auto" w:fill="FFFFFF"/>
        </w:rPr>
        <w:lastRenderedPageBreak/>
        <w:t>CONSTRUCCIONES S.A.C. y CONSTRUCTORA Y SERVICIOS C &amp; C S.R.L.</w:t>
      </w:r>
      <w:r w:rsidRPr="00F10EAA">
        <w:rPr>
          <w:rFonts w:ascii="Tahoma" w:hAnsi="Tahoma" w:cs="Tahoma"/>
          <w:sz w:val="20"/>
          <w:szCs w:val="20"/>
        </w:rPr>
        <w:t xml:space="preserve">) </w:t>
      </w:r>
      <w:r w:rsidRPr="00F10EAA">
        <w:rPr>
          <w:rFonts w:ascii="Tahoma" w:hAnsi="Tahoma" w:cs="Tahoma"/>
          <w:sz w:val="20"/>
          <w:szCs w:val="20"/>
          <w:shd w:val="clear" w:color="auto" w:fill="FFFFFF"/>
        </w:rPr>
        <w:t xml:space="preserve">no tomó la debida diligencia ni las precauciones del caso para cumplir con sus obligaciones contractuales y que por lo tanto éste no acreditó ninguna causa justificante por la cual </w:t>
      </w:r>
      <w:r w:rsidRPr="00F10EAA">
        <w:rPr>
          <w:rFonts w:ascii="Tahoma" w:hAnsi="Tahoma" w:cs="Tahoma"/>
          <w:sz w:val="20"/>
          <w:szCs w:val="20"/>
        </w:rPr>
        <w:t>no ejecuto la obra adjudicada</w:t>
      </w:r>
      <w:r w:rsidRPr="00F10EAA">
        <w:rPr>
          <w:rFonts w:ascii="Tahoma" w:hAnsi="Tahoma" w:cs="Tahoma"/>
          <w:sz w:val="20"/>
          <w:szCs w:val="20"/>
          <w:shd w:val="clear" w:color="auto" w:fill="FFFFFF"/>
        </w:rPr>
        <w:t xml:space="preserve">, ni existía una demostración convincente y clara que ello haya sido producto de un caso fortuito o fuerza mayor, por lo que se concluyó que la resolución del contrato había sido responsabilidad exclusiva de los integrantes del Consorcio. Asimismo, se determinó que la empresa CONSTRUCCIONES &amp; FABRICACIONES JENCERPE E.I.R.L. </w:t>
      </w:r>
      <w:r w:rsidRPr="00F10EAA">
        <w:rPr>
          <w:rFonts w:ascii="Tahoma" w:hAnsi="Tahoma" w:cs="Tahoma"/>
          <w:sz w:val="20"/>
          <w:szCs w:val="20"/>
        </w:rPr>
        <w:t>(integrantes del Consorcio La Alameda)</w:t>
      </w:r>
      <w:r w:rsidRPr="00F10EAA">
        <w:rPr>
          <w:rFonts w:ascii="Tahoma" w:hAnsi="Tahoma" w:cs="Tahoma"/>
          <w:sz w:val="20"/>
          <w:szCs w:val="20"/>
          <w:shd w:val="clear" w:color="auto" w:fill="FFFFFF"/>
        </w:rPr>
        <w:t xml:space="preserve"> había presentado, documentación falsa referido a los siguientes documentos</w:t>
      </w:r>
      <w:r w:rsidRPr="00F10EAA">
        <w:rPr>
          <w:rFonts w:ascii="Tahoma" w:hAnsi="Tahoma" w:cs="Tahoma"/>
          <w:sz w:val="20"/>
          <w:szCs w:val="20"/>
        </w:rPr>
        <w:t xml:space="preserve">: </w:t>
      </w:r>
      <w:r w:rsidRPr="00F10EAA">
        <w:rPr>
          <w:rFonts w:ascii="Tahoma" w:hAnsi="Tahoma" w:cs="Tahoma"/>
          <w:b/>
          <w:sz w:val="20"/>
          <w:szCs w:val="20"/>
        </w:rPr>
        <w:t>(i)</w:t>
      </w:r>
      <w:r w:rsidRPr="00F10EAA">
        <w:rPr>
          <w:rFonts w:ascii="Tahoma" w:hAnsi="Tahoma" w:cs="Tahoma"/>
          <w:sz w:val="20"/>
          <w:szCs w:val="20"/>
        </w:rPr>
        <w:t xml:space="preserve"> La Carta Fianza № 00702-2009 por el monto de S/. 117 996.90 (Fiel Cumplimiento),</w:t>
      </w:r>
      <w:r w:rsidRPr="00F10EAA">
        <w:rPr>
          <w:rFonts w:ascii="Tahoma" w:hAnsi="Tahoma" w:cs="Tahoma"/>
          <w:b/>
          <w:sz w:val="20"/>
          <w:szCs w:val="20"/>
        </w:rPr>
        <w:t xml:space="preserve"> (ii)</w:t>
      </w:r>
      <w:r w:rsidRPr="00F10EAA">
        <w:rPr>
          <w:rFonts w:ascii="Tahoma" w:hAnsi="Tahoma" w:cs="Tahoma"/>
          <w:sz w:val="20"/>
          <w:szCs w:val="20"/>
        </w:rPr>
        <w:t xml:space="preserve"> La Carta Fianza № 0073-2010 por el monto de S/. 235 993.81 (Adelanto Directo) y </w:t>
      </w:r>
      <w:r w:rsidRPr="00F10EAA">
        <w:rPr>
          <w:rFonts w:ascii="Tahoma" w:hAnsi="Tahoma" w:cs="Tahoma"/>
          <w:b/>
          <w:sz w:val="20"/>
          <w:szCs w:val="20"/>
        </w:rPr>
        <w:t>(iii)</w:t>
      </w:r>
      <w:r w:rsidRPr="00F10EAA">
        <w:rPr>
          <w:rFonts w:ascii="Tahoma" w:hAnsi="Tahoma" w:cs="Tahoma"/>
          <w:sz w:val="20"/>
          <w:szCs w:val="20"/>
        </w:rPr>
        <w:t xml:space="preserve"> La Carta Fianza № 0072-2010 por el monto de S/. 471,987.62 (Adelanto de Materiales).</w:t>
      </w:r>
    </w:p>
    <w:p w:rsidR="00F10EAA" w:rsidRPr="00F10EAA" w:rsidRDefault="00F10EAA" w:rsidP="00F10EAA">
      <w:pPr>
        <w:widowControl w:val="0"/>
        <w:autoSpaceDE w:val="0"/>
        <w:autoSpaceDN w:val="0"/>
        <w:adjustRightInd w:val="0"/>
        <w:ind w:left="567"/>
        <w:rPr>
          <w:rFonts w:ascii="Tahoma" w:hAnsi="Tahoma" w:cs="Tahoma"/>
          <w:sz w:val="20"/>
          <w:szCs w:val="20"/>
          <w:shd w:val="clear" w:color="auto" w:fill="FFFFFF"/>
        </w:rPr>
      </w:pPr>
    </w:p>
    <w:p w:rsidR="00F10EAA" w:rsidRPr="00F10EAA" w:rsidRDefault="00F10EAA" w:rsidP="00F10EAA">
      <w:pPr>
        <w:widowControl w:val="0"/>
        <w:numPr>
          <w:ilvl w:val="0"/>
          <w:numId w:val="29"/>
        </w:numPr>
        <w:autoSpaceDE w:val="0"/>
        <w:autoSpaceDN w:val="0"/>
        <w:adjustRightInd w:val="0"/>
        <w:ind w:left="567" w:hanging="567"/>
        <w:jc w:val="both"/>
        <w:rPr>
          <w:rFonts w:ascii="Tahoma" w:hAnsi="Tahoma" w:cs="Tahoma"/>
          <w:sz w:val="20"/>
          <w:szCs w:val="20"/>
          <w:shd w:val="clear" w:color="auto" w:fill="FFFFFF"/>
        </w:rPr>
      </w:pPr>
      <w:r w:rsidRPr="00F10EAA">
        <w:rPr>
          <w:rFonts w:ascii="Tahoma" w:hAnsi="Tahoma" w:cs="Tahoma"/>
          <w:sz w:val="20"/>
          <w:szCs w:val="20"/>
        </w:rPr>
        <w:t xml:space="preserve">A través del escrito presentado el 27 de mayo de 2011 y subsanado el 31 del mismo mes y año, las empresas SERVIL CONSTRUCCIONES S.A.C. y CONSTRUCTORA Y SERVICIOS C &amp; C S.R.L., integrantes del Consorcio interpusieron recurso de reconsideración contra la Resolución № 823-2011-TC-S1 y solicitaron al Tribunal resuelva con arreglo a Ley, por los argumentos contenidos en dicho recurso. </w:t>
      </w:r>
    </w:p>
    <w:p w:rsidR="00F10EAA" w:rsidRPr="00F10EAA" w:rsidRDefault="00F10EAA" w:rsidP="00F10EAA">
      <w:pPr>
        <w:widowControl w:val="0"/>
        <w:autoSpaceDE w:val="0"/>
        <w:autoSpaceDN w:val="0"/>
        <w:adjustRightInd w:val="0"/>
        <w:ind w:left="567"/>
        <w:rPr>
          <w:rFonts w:ascii="Tahoma" w:hAnsi="Tahoma" w:cs="Tahoma"/>
          <w:sz w:val="20"/>
          <w:szCs w:val="20"/>
          <w:shd w:val="clear" w:color="auto" w:fill="FFFFFF"/>
        </w:rPr>
      </w:pPr>
    </w:p>
    <w:p w:rsidR="00F10EAA" w:rsidRPr="00F10EAA" w:rsidRDefault="00F10EAA" w:rsidP="00F10EAA">
      <w:pPr>
        <w:widowControl w:val="0"/>
        <w:numPr>
          <w:ilvl w:val="0"/>
          <w:numId w:val="29"/>
        </w:numPr>
        <w:autoSpaceDE w:val="0"/>
        <w:autoSpaceDN w:val="0"/>
        <w:adjustRightInd w:val="0"/>
        <w:ind w:left="567" w:hanging="567"/>
        <w:jc w:val="both"/>
        <w:rPr>
          <w:rFonts w:ascii="Tahoma" w:hAnsi="Tahoma" w:cs="Tahoma"/>
          <w:sz w:val="20"/>
          <w:szCs w:val="20"/>
          <w:shd w:val="clear" w:color="auto" w:fill="FFFFFF"/>
        </w:rPr>
      </w:pPr>
      <w:r w:rsidRPr="00F10EAA">
        <w:rPr>
          <w:rFonts w:ascii="Tahoma" w:hAnsi="Tahoma" w:cs="Tahoma"/>
          <w:sz w:val="20"/>
          <w:szCs w:val="20"/>
        </w:rPr>
        <w:t>Mediante decreto de fecha 31 de mayo de 2011, se admitió a trámite el recurso de reconsideración interpuesto y se remitió el presente expediente a la Primera Sala del Tribunal para que resolviera el recurso de reconsideración presentado por las empresas SERVIL CONSTRUCCIONES S.A.C. y CONSTRUCTORA Y SERVICIOS C &amp; C S.R.L., integrantes del Consorcio.</w:t>
      </w:r>
    </w:p>
    <w:p w:rsidR="00F10EAA" w:rsidRPr="00F10EAA" w:rsidRDefault="00F10EAA" w:rsidP="00F10EAA">
      <w:pPr>
        <w:pStyle w:val="Prrafodelista"/>
        <w:rPr>
          <w:rFonts w:ascii="Tahoma" w:hAnsi="Tahoma" w:cs="Tahoma"/>
          <w:sz w:val="20"/>
          <w:szCs w:val="20"/>
          <w:shd w:val="clear" w:color="auto" w:fill="FFFFFF"/>
        </w:rPr>
      </w:pPr>
    </w:p>
    <w:p w:rsidR="00F10EAA" w:rsidRPr="00F10EAA" w:rsidRDefault="00F10EAA" w:rsidP="00F10EAA">
      <w:pPr>
        <w:widowControl w:val="0"/>
        <w:numPr>
          <w:ilvl w:val="0"/>
          <w:numId w:val="29"/>
        </w:numPr>
        <w:autoSpaceDE w:val="0"/>
        <w:autoSpaceDN w:val="0"/>
        <w:adjustRightInd w:val="0"/>
        <w:ind w:left="567" w:hanging="567"/>
        <w:jc w:val="both"/>
        <w:rPr>
          <w:rFonts w:ascii="Tahoma" w:hAnsi="Tahoma" w:cs="Tahoma"/>
          <w:sz w:val="20"/>
          <w:szCs w:val="20"/>
          <w:shd w:val="clear" w:color="auto" w:fill="FFFFFF"/>
        </w:rPr>
      </w:pPr>
      <w:r w:rsidRPr="00F10EAA">
        <w:rPr>
          <w:rFonts w:ascii="Tahoma" w:hAnsi="Tahoma" w:cs="Tahoma"/>
          <w:sz w:val="20"/>
          <w:szCs w:val="20"/>
          <w:shd w:val="clear" w:color="auto" w:fill="FFFFFF"/>
        </w:rPr>
        <w:t xml:space="preserve">Con escrito presentado el 09 de junio de 2010, </w:t>
      </w:r>
      <w:r w:rsidRPr="00F10EAA">
        <w:rPr>
          <w:rFonts w:ascii="Tahoma" w:hAnsi="Tahoma" w:cs="Tahoma"/>
          <w:sz w:val="20"/>
          <w:szCs w:val="20"/>
        </w:rPr>
        <w:t>las empresas SERVIL CONSTRUCCIONES S.A.C. y CONSTRUCTORA Y SERVICIOS C &amp; C S.R.L., integrantes del Consorcio manifestaron que la resolución impugnada no fue notificada a su domicilio procesal sino al real, hecho que corroboraba una notificación defectuosa, lo cual implicaba que el computo del plazo para la interposición del recurso no se debe computar a partir la notificación realizada en el domicilio real.</w:t>
      </w:r>
    </w:p>
    <w:p w:rsidR="00F10EAA" w:rsidRPr="00F10EAA" w:rsidRDefault="00F10EAA" w:rsidP="00F10EAA">
      <w:pPr>
        <w:pStyle w:val="Prrafodelista"/>
        <w:rPr>
          <w:rFonts w:ascii="Tahoma" w:hAnsi="Tahoma" w:cs="Tahoma"/>
          <w:sz w:val="20"/>
          <w:szCs w:val="20"/>
          <w:shd w:val="clear" w:color="auto" w:fill="FFFFFF"/>
        </w:rPr>
      </w:pPr>
    </w:p>
    <w:p w:rsidR="00F10EAA" w:rsidRDefault="00F10EAA" w:rsidP="00F10EAA">
      <w:pPr>
        <w:widowControl w:val="0"/>
        <w:numPr>
          <w:ilvl w:val="0"/>
          <w:numId w:val="29"/>
        </w:numPr>
        <w:autoSpaceDE w:val="0"/>
        <w:autoSpaceDN w:val="0"/>
        <w:adjustRightInd w:val="0"/>
        <w:ind w:left="567" w:hanging="567"/>
        <w:jc w:val="both"/>
        <w:rPr>
          <w:rFonts w:ascii="Tahoma" w:hAnsi="Tahoma" w:cs="Tahoma"/>
          <w:sz w:val="20"/>
          <w:szCs w:val="20"/>
        </w:rPr>
      </w:pPr>
      <w:r w:rsidRPr="00F10EAA">
        <w:rPr>
          <w:rFonts w:ascii="Tahoma" w:hAnsi="Tahoma" w:cs="Tahoma"/>
          <w:sz w:val="20"/>
          <w:szCs w:val="20"/>
          <w:shd w:val="clear" w:color="auto" w:fill="FFFFFF"/>
        </w:rPr>
        <w:t xml:space="preserve">Mediante escrito presentado el 15 de junio de 2011, </w:t>
      </w:r>
      <w:r w:rsidRPr="00F10EAA">
        <w:rPr>
          <w:rFonts w:ascii="Tahoma" w:hAnsi="Tahoma" w:cs="Tahoma"/>
          <w:sz w:val="20"/>
          <w:szCs w:val="20"/>
        </w:rPr>
        <w:t>las empresas SERVIL CONSTRUCCIONES S.A.C. y CONSTRUCTORA Y SERVICIOS C &amp; C S.R.L.</w:t>
      </w:r>
      <w:r w:rsidRPr="00F10EAA">
        <w:rPr>
          <w:rFonts w:ascii="Tahoma" w:hAnsi="Tahoma" w:cs="Tahoma"/>
          <w:sz w:val="20"/>
          <w:szCs w:val="20"/>
          <w:shd w:val="clear" w:color="auto" w:fill="FFFFFF"/>
        </w:rPr>
        <w:t xml:space="preserve"> </w:t>
      </w:r>
      <w:r w:rsidRPr="00F10EAA">
        <w:rPr>
          <w:rFonts w:ascii="Tahoma" w:hAnsi="Tahoma" w:cs="Tahoma"/>
          <w:sz w:val="20"/>
          <w:szCs w:val="20"/>
        </w:rPr>
        <w:t>integrantes del Consorcio remitieron la Declaración Jurada legalizada notarialmente, en la cual el señor Juan Enrique Cerpa Corales, representante legal de la empresa CONSTRUCCIONES &amp; FABRICACIONES JENCERPE E.I.R.L. (integrante del Consorcio), manifestó que la resolución del contrato, se debió exclusivamente a que su representada no realizó el manejo eficiente de los adelantos entregados por la Entidad, razón por la cual, las empresas SERVIL CONSTRUCCIONES S.A.C. y CONSTRUCTORA Y SERVICIOS C &amp; C S.R.L. no tuvieron responsabilidad alguna en el incumplimiento del contrato, siendo ésta la única responsable.</w:t>
      </w:r>
    </w:p>
    <w:p w:rsidR="00A6118B" w:rsidRDefault="00A6118B" w:rsidP="00A6118B">
      <w:pPr>
        <w:pStyle w:val="Prrafodelista"/>
        <w:rPr>
          <w:rFonts w:ascii="Tahoma" w:hAnsi="Tahoma" w:cs="Tahoma"/>
          <w:sz w:val="20"/>
          <w:szCs w:val="20"/>
        </w:rPr>
      </w:pPr>
    </w:p>
    <w:p w:rsidR="00A6118B" w:rsidRPr="00F10EAA" w:rsidRDefault="00A6118B" w:rsidP="00A6118B">
      <w:pPr>
        <w:widowControl w:val="0"/>
        <w:numPr>
          <w:ilvl w:val="0"/>
          <w:numId w:val="29"/>
        </w:numPr>
        <w:autoSpaceDE w:val="0"/>
        <w:autoSpaceDN w:val="0"/>
        <w:adjustRightInd w:val="0"/>
        <w:ind w:left="567" w:hanging="567"/>
        <w:jc w:val="both"/>
        <w:rPr>
          <w:rFonts w:ascii="Tahoma" w:hAnsi="Tahoma" w:cs="Tahoma"/>
          <w:sz w:val="20"/>
          <w:szCs w:val="20"/>
        </w:rPr>
      </w:pPr>
      <w:r>
        <w:rPr>
          <w:rFonts w:ascii="Tahoma" w:hAnsi="Tahoma" w:cs="Tahoma"/>
          <w:sz w:val="20"/>
          <w:szCs w:val="20"/>
        </w:rPr>
        <w:t xml:space="preserve">Con escrito presentado el 20 de junio de 2011, las empresas </w:t>
      </w:r>
      <w:r w:rsidRPr="00F10EAA">
        <w:rPr>
          <w:rFonts w:ascii="Tahoma" w:hAnsi="Tahoma" w:cs="Tahoma"/>
          <w:sz w:val="20"/>
          <w:szCs w:val="20"/>
        </w:rPr>
        <w:t>SERVIL CONSTRUCCIONES S.A.C. y CONSTRUCTORA y SERVICIOS C &amp; C S.R.L., integrantes del Consorcio</w:t>
      </w:r>
      <w:r>
        <w:rPr>
          <w:rFonts w:ascii="Tahoma" w:hAnsi="Tahoma" w:cs="Tahoma"/>
          <w:sz w:val="20"/>
          <w:szCs w:val="20"/>
        </w:rPr>
        <w:t>, presentaron alegatos finales.</w:t>
      </w:r>
    </w:p>
    <w:p w:rsidR="00F10EAA" w:rsidRPr="00F10EAA" w:rsidRDefault="00F10EAA" w:rsidP="00F10EAA">
      <w:pPr>
        <w:pStyle w:val="Prrafodelista"/>
        <w:rPr>
          <w:rFonts w:ascii="Tahoma" w:hAnsi="Tahoma" w:cs="Tahoma"/>
          <w:sz w:val="20"/>
          <w:szCs w:val="20"/>
        </w:rPr>
      </w:pPr>
    </w:p>
    <w:p w:rsidR="00F10EAA" w:rsidRPr="00F10EAA" w:rsidRDefault="00F10EAA" w:rsidP="00F10EAA">
      <w:pPr>
        <w:widowControl w:val="0"/>
        <w:numPr>
          <w:ilvl w:val="0"/>
          <w:numId w:val="29"/>
        </w:numPr>
        <w:autoSpaceDE w:val="0"/>
        <w:autoSpaceDN w:val="0"/>
        <w:adjustRightInd w:val="0"/>
        <w:ind w:left="567" w:hanging="567"/>
        <w:jc w:val="both"/>
        <w:rPr>
          <w:rFonts w:ascii="Tahoma" w:hAnsi="Tahoma" w:cs="Tahoma"/>
          <w:sz w:val="20"/>
          <w:szCs w:val="20"/>
        </w:rPr>
      </w:pPr>
      <w:r w:rsidRPr="00F10EAA">
        <w:rPr>
          <w:rFonts w:ascii="Tahoma" w:hAnsi="Tahoma" w:cs="Tahoma"/>
          <w:sz w:val="20"/>
          <w:szCs w:val="20"/>
        </w:rPr>
        <w:t xml:space="preserve">El 21 de junio de 2011, se realizó la diligencia de audiencia pública, con la participación de la empresas SERVIL CONSTRUCCIONES S.A.C. y CONSTRUCTORA y SERVICIOS C &amp; C </w:t>
      </w:r>
      <w:r w:rsidRPr="00F10EAA">
        <w:rPr>
          <w:rFonts w:ascii="Tahoma" w:hAnsi="Tahoma" w:cs="Tahoma"/>
          <w:sz w:val="20"/>
          <w:szCs w:val="20"/>
        </w:rPr>
        <w:lastRenderedPageBreak/>
        <w:t>S.R.L., integrantes del Consorcio</w:t>
      </w:r>
    </w:p>
    <w:p w:rsidR="00A460D5" w:rsidRPr="00F10EAA" w:rsidRDefault="00A460D5" w:rsidP="00986843">
      <w:pPr>
        <w:tabs>
          <w:tab w:val="left" w:pos="567"/>
        </w:tabs>
        <w:ind w:left="567" w:right="-2"/>
        <w:jc w:val="both"/>
        <w:rPr>
          <w:rFonts w:ascii="Tahoma" w:hAnsi="Tahoma" w:cs="Tahoma"/>
          <w:sz w:val="20"/>
          <w:szCs w:val="20"/>
        </w:rPr>
      </w:pPr>
    </w:p>
    <w:p w:rsidR="00711297" w:rsidRPr="00F10EAA" w:rsidRDefault="00711297" w:rsidP="00986843">
      <w:pPr>
        <w:jc w:val="both"/>
        <w:rPr>
          <w:rFonts w:ascii="Tahoma" w:hAnsi="Tahoma" w:cs="Tahoma"/>
          <w:b/>
          <w:sz w:val="20"/>
          <w:szCs w:val="20"/>
        </w:rPr>
      </w:pPr>
      <w:r w:rsidRPr="00F10EAA">
        <w:rPr>
          <w:rFonts w:ascii="Tahoma" w:hAnsi="Tahoma" w:cs="Tahoma"/>
          <w:b/>
          <w:sz w:val="20"/>
          <w:szCs w:val="20"/>
        </w:rPr>
        <w:t>FUNDAMENTACIÓN:</w:t>
      </w:r>
    </w:p>
    <w:p w:rsidR="00711297" w:rsidRPr="00F10EAA" w:rsidRDefault="00711297" w:rsidP="00986843">
      <w:pPr>
        <w:jc w:val="both"/>
        <w:rPr>
          <w:rFonts w:ascii="Tahoma" w:hAnsi="Tahoma" w:cs="Tahoma"/>
          <w:b/>
          <w:sz w:val="20"/>
          <w:szCs w:val="20"/>
        </w:rPr>
      </w:pPr>
    </w:p>
    <w:p w:rsidR="00F10EAA" w:rsidRDefault="00F10EAA" w:rsidP="00F10EAA">
      <w:pPr>
        <w:pStyle w:val="Textoindependiente"/>
        <w:widowControl w:val="0"/>
        <w:numPr>
          <w:ilvl w:val="0"/>
          <w:numId w:val="5"/>
        </w:numPr>
        <w:tabs>
          <w:tab w:val="clear" w:pos="720"/>
          <w:tab w:val="num" w:pos="567"/>
        </w:tabs>
        <w:suppressAutoHyphens/>
        <w:spacing w:after="0"/>
        <w:ind w:left="567" w:hanging="567"/>
        <w:jc w:val="both"/>
        <w:rPr>
          <w:rFonts w:ascii="Tahoma" w:hAnsi="Tahoma" w:cs="Tahoma"/>
          <w:sz w:val="20"/>
          <w:szCs w:val="20"/>
        </w:rPr>
      </w:pPr>
      <w:r w:rsidRPr="00F10EAA">
        <w:rPr>
          <w:rFonts w:ascii="Tahoma" w:hAnsi="Tahoma" w:cs="Tahoma"/>
          <w:sz w:val="20"/>
          <w:szCs w:val="20"/>
        </w:rPr>
        <w:t xml:space="preserve">En el caso de autos, las empresas </w:t>
      </w:r>
      <w:r w:rsidRPr="00F10EAA">
        <w:rPr>
          <w:rFonts w:ascii="Tahoma" w:hAnsi="Tahoma" w:cs="Tahoma"/>
          <w:sz w:val="20"/>
          <w:szCs w:val="20"/>
          <w:shd w:val="clear" w:color="auto" w:fill="FFFFFF"/>
        </w:rPr>
        <w:t>CONSTRUCCIONES &amp; FABRICACIONES JENCERPE E.I.R.L., SERVIL CONSTRUCCIONES S.A.C. y CONSTRUCTORA y SERVICIOS C &amp; C S.R.L.</w:t>
      </w:r>
      <w:r w:rsidRPr="00F10EAA">
        <w:rPr>
          <w:rFonts w:ascii="Tahoma" w:hAnsi="Tahoma" w:cs="Tahoma"/>
          <w:sz w:val="20"/>
          <w:szCs w:val="20"/>
        </w:rPr>
        <w:t xml:space="preserve">, integrantes del Consorcio, han interpuesto recurso de reconsideración contra la Resolución № 823-2011-TC-S1 de fecha 17 de mayo de 2011, mediante la cual el Tribunal impuso a las empresas SERVIL CONSTRUCCIONES S.A.C. y CONSTRUCTORA Y SERVICIOS C &amp; C S.R.L. sanción administrativa de inhabilitación temporal por el periodo de catorce (14) meses en sus derechos de participar en procesos de selección y contratar con el Estado, por haber incurrido en la </w:t>
      </w:r>
      <w:r w:rsidRPr="00F10EAA">
        <w:rPr>
          <w:rFonts w:ascii="Tahoma" w:hAnsi="Tahoma" w:cs="Tahoma"/>
          <w:sz w:val="20"/>
          <w:szCs w:val="20"/>
          <w:lang w:val="es-ES_tradnl"/>
        </w:rPr>
        <w:t xml:space="preserve">responsabilidad </w:t>
      </w:r>
      <w:r w:rsidRPr="00F10EAA">
        <w:rPr>
          <w:rFonts w:ascii="Tahoma" w:hAnsi="Tahoma" w:cs="Tahoma"/>
          <w:sz w:val="20"/>
          <w:szCs w:val="20"/>
        </w:rPr>
        <w:t>en dar lugar a la resolución del contrato por causal atribuible a su parte.</w:t>
      </w:r>
    </w:p>
    <w:p w:rsidR="00F10EAA" w:rsidRDefault="00F10EAA" w:rsidP="00F10EAA">
      <w:pPr>
        <w:pStyle w:val="Textoindependiente"/>
        <w:widowControl w:val="0"/>
        <w:suppressAutoHyphens/>
        <w:spacing w:after="0"/>
        <w:ind w:left="567"/>
        <w:jc w:val="both"/>
        <w:rPr>
          <w:rFonts w:ascii="Tahoma" w:hAnsi="Tahoma" w:cs="Tahoma"/>
          <w:sz w:val="20"/>
          <w:szCs w:val="20"/>
        </w:rPr>
      </w:pPr>
    </w:p>
    <w:p w:rsidR="00F10EAA" w:rsidRPr="00F10EAA" w:rsidRDefault="00F10EAA" w:rsidP="00F10EAA">
      <w:pPr>
        <w:pStyle w:val="Textoindependiente"/>
        <w:widowControl w:val="0"/>
        <w:numPr>
          <w:ilvl w:val="0"/>
          <w:numId w:val="5"/>
        </w:numPr>
        <w:tabs>
          <w:tab w:val="clear" w:pos="720"/>
          <w:tab w:val="num" w:pos="567"/>
        </w:tabs>
        <w:suppressAutoHyphens/>
        <w:spacing w:after="0"/>
        <w:ind w:left="567" w:hanging="567"/>
        <w:jc w:val="both"/>
        <w:rPr>
          <w:rFonts w:ascii="Tahoma" w:hAnsi="Tahoma" w:cs="Tahoma"/>
          <w:sz w:val="20"/>
          <w:szCs w:val="20"/>
        </w:rPr>
      </w:pPr>
      <w:r w:rsidRPr="00F10EAA">
        <w:rPr>
          <w:rFonts w:ascii="Tahoma" w:hAnsi="Tahoma" w:cs="Tahoma"/>
          <w:sz w:val="20"/>
          <w:szCs w:val="20"/>
        </w:rPr>
        <w:t>En primer término, corresponde al Tribunal pronunciarse sobre algunas cuestiones previas.</w:t>
      </w:r>
    </w:p>
    <w:p w:rsidR="00F10EAA" w:rsidRPr="00F10EAA" w:rsidRDefault="00F10EAA" w:rsidP="00F10EAA">
      <w:pPr>
        <w:pStyle w:val="Prrafodelista"/>
        <w:rPr>
          <w:rFonts w:ascii="Tahoma" w:hAnsi="Tahoma" w:cs="Tahoma"/>
          <w:sz w:val="20"/>
          <w:szCs w:val="20"/>
        </w:rPr>
      </w:pPr>
    </w:p>
    <w:p w:rsidR="00F10EAA" w:rsidRPr="00F10EAA" w:rsidRDefault="00F10EAA" w:rsidP="00F10EAA">
      <w:pPr>
        <w:ind w:left="567"/>
        <w:rPr>
          <w:rFonts w:ascii="Tahoma" w:hAnsi="Tahoma" w:cs="Tahoma"/>
          <w:b/>
          <w:sz w:val="20"/>
          <w:szCs w:val="20"/>
        </w:rPr>
      </w:pPr>
      <w:r w:rsidRPr="00F10EAA">
        <w:rPr>
          <w:rFonts w:ascii="Tahoma" w:hAnsi="Tahoma" w:cs="Tahoma"/>
          <w:b/>
          <w:sz w:val="20"/>
          <w:szCs w:val="20"/>
        </w:rPr>
        <w:t>Respecto de la notificación efectuada a los recurrentes</w:t>
      </w:r>
    </w:p>
    <w:p w:rsidR="00F10EAA" w:rsidRPr="00F10EAA" w:rsidRDefault="00F10EAA" w:rsidP="00F10EAA">
      <w:pPr>
        <w:pStyle w:val="Textoindependiente"/>
        <w:widowControl w:val="0"/>
        <w:suppressAutoHyphens/>
        <w:ind w:left="567"/>
        <w:rPr>
          <w:rFonts w:ascii="Tahoma" w:hAnsi="Tahoma" w:cs="Tahoma"/>
          <w:i/>
          <w:sz w:val="20"/>
          <w:szCs w:val="20"/>
        </w:rPr>
      </w:pPr>
    </w:p>
    <w:p w:rsidR="00F10EAA" w:rsidRPr="00F10EAA" w:rsidRDefault="00F10EAA" w:rsidP="00F10EAA">
      <w:pPr>
        <w:pStyle w:val="Prrafodelista"/>
        <w:numPr>
          <w:ilvl w:val="0"/>
          <w:numId w:val="5"/>
        </w:numPr>
        <w:tabs>
          <w:tab w:val="clear" w:pos="720"/>
          <w:tab w:val="num" w:pos="567"/>
        </w:tabs>
        <w:ind w:left="567" w:hanging="567"/>
        <w:contextualSpacing w:val="0"/>
        <w:jc w:val="both"/>
        <w:rPr>
          <w:rFonts w:ascii="Tahoma" w:hAnsi="Tahoma" w:cs="Tahoma"/>
          <w:sz w:val="20"/>
          <w:szCs w:val="20"/>
        </w:rPr>
      </w:pPr>
      <w:r w:rsidRPr="00F10EAA">
        <w:rPr>
          <w:rFonts w:ascii="Tahoma" w:hAnsi="Tahoma" w:cs="Tahoma"/>
          <w:sz w:val="20"/>
          <w:szCs w:val="20"/>
        </w:rPr>
        <w:t>En relación a lo expuesto, una cuestión previa que debe analizar esta Sala es el cuestionamiento efectuado por el Postor a través de su escrito de fecha 09 de junio de 2010, toda vez que éste ha sostenido que la notificación de la Resolución recurrida resultaba ser defectuosa, por cuanto, según señaló, ésta no había sido notificada en su domicilio procesal sino en el real y que, en tal sentido, el computo del plazo para la interposición del presente recurso  no se debería computar a partir de la notificación en el domicilio real.</w:t>
      </w:r>
    </w:p>
    <w:p w:rsidR="00F10EAA" w:rsidRPr="00F10EAA" w:rsidRDefault="00F10EAA" w:rsidP="00F10EAA">
      <w:pPr>
        <w:pStyle w:val="Prrafodelista"/>
        <w:ind w:left="567"/>
        <w:rPr>
          <w:rFonts w:ascii="Tahoma" w:hAnsi="Tahoma" w:cs="Tahoma"/>
          <w:sz w:val="20"/>
          <w:szCs w:val="20"/>
        </w:rPr>
      </w:pPr>
    </w:p>
    <w:p w:rsidR="00F10EAA" w:rsidRPr="00F10EAA" w:rsidRDefault="00F10EAA" w:rsidP="00F10EAA">
      <w:pPr>
        <w:pStyle w:val="Prrafodelista"/>
        <w:numPr>
          <w:ilvl w:val="0"/>
          <w:numId w:val="5"/>
        </w:numPr>
        <w:tabs>
          <w:tab w:val="clear" w:pos="720"/>
          <w:tab w:val="num" w:pos="567"/>
        </w:tabs>
        <w:ind w:left="567" w:hanging="567"/>
        <w:contextualSpacing w:val="0"/>
        <w:jc w:val="both"/>
        <w:rPr>
          <w:rFonts w:ascii="Tahoma" w:hAnsi="Tahoma" w:cs="Tahoma"/>
          <w:sz w:val="20"/>
          <w:szCs w:val="20"/>
        </w:rPr>
      </w:pPr>
      <w:r w:rsidRPr="00F10EAA">
        <w:rPr>
          <w:rFonts w:ascii="Tahoma" w:hAnsi="Tahoma" w:cs="Tahoma"/>
          <w:sz w:val="20"/>
          <w:szCs w:val="20"/>
        </w:rPr>
        <w:t>Respecto a ello, debe tenerse en cuenta que, tal como indican los recurrentes, éstos consignaron como su domicilio procesal la dirección</w:t>
      </w:r>
      <w:r w:rsidRPr="00F10EAA">
        <w:rPr>
          <w:rFonts w:ascii="Tahoma" w:hAnsi="Tahoma" w:cs="Tahoma"/>
          <w:sz w:val="20"/>
          <w:szCs w:val="20"/>
          <w:lang w:eastAsia="es-PE"/>
        </w:rPr>
        <w:t xml:space="preserve"> sito en Centro San Felipe, Oficina № 37 Residencial San Felipe, Distrito de Jesús María; por tanto, en dicha dirección se debía de notificar todas las actuaciones correspondientes al procedimiento sancionador. Sin embargo, de la revisión de las Cédulas de Notificación № 12015/2011.TC y № 12016/2011.TC se observa que la resolución recurrida fue remitida al domicilio real de las empresas CONSTRUCTORA Y SERVICIOS C &amp; C S.R.L. y SERVIL CONSTRUCCIONES S.A.C., esto es, Urb. Cáceres Aramayo Mza. D1, Lote 55, Nuevo Chimbote y Urb. Los Heroes, Mza. D2, Lote 69, Nuevo Chimbote – Ancash, respectivamente, domicilios que fueron consignados por aquéllos,  en su escrito</w:t>
      </w:r>
      <w:r w:rsidRPr="00F10EAA">
        <w:rPr>
          <w:rFonts w:ascii="Tahoma" w:hAnsi="Tahoma" w:cs="Tahoma"/>
          <w:sz w:val="20"/>
          <w:szCs w:val="20"/>
        </w:rPr>
        <w:t xml:space="preserve"> de descargos.</w:t>
      </w:r>
    </w:p>
    <w:p w:rsidR="00F10EAA" w:rsidRPr="00F10EAA" w:rsidRDefault="00F10EAA" w:rsidP="00F10EAA">
      <w:pPr>
        <w:pStyle w:val="Prrafodelista"/>
        <w:rPr>
          <w:rFonts w:ascii="Tahoma" w:hAnsi="Tahoma" w:cs="Tahoma"/>
          <w:sz w:val="20"/>
          <w:szCs w:val="20"/>
        </w:rPr>
      </w:pPr>
    </w:p>
    <w:p w:rsidR="00F10EAA" w:rsidRPr="00F10EAA" w:rsidRDefault="00F10EAA" w:rsidP="00F10EAA">
      <w:pPr>
        <w:pStyle w:val="Prrafodelista"/>
        <w:numPr>
          <w:ilvl w:val="0"/>
          <w:numId w:val="5"/>
        </w:numPr>
        <w:tabs>
          <w:tab w:val="clear" w:pos="720"/>
          <w:tab w:val="num" w:pos="567"/>
        </w:tabs>
        <w:ind w:left="567" w:hanging="567"/>
        <w:contextualSpacing w:val="0"/>
        <w:jc w:val="both"/>
        <w:rPr>
          <w:rFonts w:ascii="Tahoma" w:hAnsi="Tahoma" w:cs="Tahoma"/>
          <w:sz w:val="20"/>
          <w:szCs w:val="20"/>
        </w:rPr>
      </w:pPr>
      <w:r w:rsidRPr="00F10EAA">
        <w:rPr>
          <w:rFonts w:ascii="Tahoma" w:hAnsi="Tahoma" w:cs="Tahoma"/>
          <w:sz w:val="20"/>
          <w:szCs w:val="20"/>
        </w:rPr>
        <w:t xml:space="preserve">Sobre el particular, el artículo 27.2 de la Ley № 27444 Ley de Procedimiento Administrativo General, ha dispuesto que </w:t>
      </w:r>
      <w:r w:rsidRPr="00F10EAA">
        <w:rPr>
          <w:rFonts w:ascii="Tahoma" w:hAnsi="Tahoma" w:cs="Tahoma"/>
          <w:sz w:val="20"/>
          <w:szCs w:val="20"/>
          <w:u w:val="single"/>
        </w:rPr>
        <w:t>se tendrá por bien notificado al administrado a partir de la realización de actuaciones procedimentales que permitan suponer razonablemente que tuvo conocimiento oportuno del contenido o alcance de la resolución, o interponga cualquier recurso que proceda.</w:t>
      </w:r>
    </w:p>
    <w:p w:rsidR="00F10EAA" w:rsidRPr="00F10EAA" w:rsidRDefault="00F10EAA" w:rsidP="00F10EAA">
      <w:pPr>
        <w:pStyle w:val="Prrafodelista"/>
        <w:rPr>
          <w:rFonts w:ascii="Tahoma" w:hAnsi="Tahoma" w:cs="Tahoma"/>
          <w:sz w:val="20"/>
          <w:szCs w:val="20"/>
        </w:rPr>
      </w:pPr>
    </w:p>
    <w:p w:rsidR="00F10EAA" w:rsidRPr="00F10EAA" w:rsidRDefault="00F10EAA" w:rsidP="00F10EAA">
      <w:pPr>
        <w:pStyle w:val="Prrafodelista"/>
        <w:numPr>
          <w:ilvl w:val="0"/>
          <w:numId w:val="5"/>
        </w:numPr>
        <w:tabs>
          <w:tab w:val="clear" w:pos="720"/>
          <w:tab w:val="num" w:pos="567"/>
        </w:tabs>
        <w:ind w:left="567" w:hanging="567"/>
        <w:contextualSpacing w:val="0"/>
        <w:jc w:val="both"/>
        <w:rPr>
          <w:rFonts w:ascii="Tahoma" w:hAnsi="Tahoma" w:cs="Tahoma"/>
          <w:sz w:val="20"/>
          <w:szCs w:val="20"/>
        </w:rPr>
      </w:pPr>
      <w:r w:rsidRPr="00F10EAA">
        <w:rPr>
          <w:rFonts w:ascii="Tahoma" w:hAnsi="Tahoma" w:cs="Tahoma"/>
          <w:sz w:val="20"/>
          <w:szCs w:val="20"/>
        </w:rPr>
        <w:t xml:space="preserve">Al respecto, Morón señala que </w:t>
      </w:r>
      <w:r w:rsidRPr="00F10EAA">
        <w:rPr>
          <w:rFonts w:ascii="Tahoma" w:hAnsi="Tahoma" w:cs="Tahoma"/>
          <w:sz w:val="20"/>
          <w:szCs w:val="20"/>
          <w:u w:val="single"/>
        </w:rPr>
        <w:t>la declaración de conocimiento de un acto defectuosamente notificado efectuada por el propio administrado es reconocida como elemento habilitante para entender saneada una notificación viciada en su origen.</w:t>
      </w:r>
      <w:r w:rsidRPr="00F10EAA">
        <w:rPr>
          <w:rFonts w:ascii="Tahoma" w:hAnsi="Tahoma" w:cs="Tahoma"/>
          <w:sz w:val="20"/>
          <w:szCs w:val="20"/>
        </w:rPr>
        <w:t xml:space="preserve"> Así, esta manifestación de conocimiento puede expresarse de dos maneras, una en la que el </w:t>
      </w:r>
      <w:r w:rsidRPr="00F10EAA">
        <w:rPr>
          <w:rFonts w:ascii="Tahoma" w:hAnsi="Tahoma" w:cs="Tahoma"/>
          <w:sz w:val="20"/>
          <w:szCs w:val="20"/>
        </w:rPr>
        <w:lastRenderedPageBreak/>
        <w:t xml:space="preserve">interesado manifieste haber recibido la notificación y, la otra, en la que puede presumirse que el interesado tuvo conocimiento del contenido de la notificación. Sobre esta última, Morón nos indica que tal declaración tácita de voluntad será determinada por la Administración sobre la base de actos procesales positivos y concluyentes del interesado por los cuales invoca los efectos del acto cuya notificación es defectuosa, </w:t>
      </w:r>
      <w:r w:rsidRPr="00F10EAA">
        <w:rPr>
          <w:rFonts w:ascii="Tahoma" w:hAnsi="Tahoma" w:cs="Tahoma"/>
          <w:sz w:val="20"/>
          <w:szCs w:val="20"/>
          <w:u w:val="single"/>
        </w:rPr>
        <w:t>como ejemplo de ello señala el caso en el que el destinatario impugna válidamente una decisión mal notificada</w:t>
      </w:r>
      <w:r w:rsidRPr="00F10EAA">
        <w:rPr>
          <w:rStyle w:val="Refdenotaalpie"/>
          <w:rFonts w:ascii="Tahoma" w:hAnsi="Tahoma" w:cs="Tahoma"/>
          <w:sz w:val="20"/>
          <w:szCs w:val="20"/>
        </w:rPr>
        <w:footnoteReference w:id="2"/>
      </w:r>
      <w:r w:rsidRPr="00F10EAA">
        <w:rPr>
          <w:rFonts w:ascii="Tahoma" w:hAnsi="Tahoma" w:cs="Tahoma"/>
          <w:sz w:val="20"/>
          <w:szCs w:val="20"/>
        </w:rPr>
        <w:t>.</w:t>
      </w:r>
    </w:p>
    <w:p w:rsidR="00F10EAA" w:rsidRPr="00F10EAA" w:rsidRDefault="00F10EAA" w:rsidP="00F10EAA">
      <w:pPr>
        <w:pStyle w:val="Prrafodelista"/>
        <w:rPr>
          <w:rFonts w:ascii="Tahoma" w:hAnsi="Tahoma" w:cs="Tahoma"/>
          <w:sz w:val="20"/>
          <w:szCs w:val="20"/>
        </w:rPr>
      </w:pPr>
    </w:p>
    <w:p w:rsidR="00F10EAA" w:rsidRPr="00F10EAA" w:rsidRDefault="00F10EAA" w:rsidP="00F10EAA">
      <w:pPr>
        <w:pStyle w:val="Prrafodelista"/>
        <w:ind w:left="567"/>
        <w:jc w:val="both"/>
        <w:rPr>
          <w:rFonts w:ascii="Tahoma" w:hAnsi="Tahoma" w:cs="Tahoma"/>
          <w:sz w:val="20"/>
          <w:szCs w:val="20"/>
        </w:rPr>
      </w:pPr>
      <w:r w:rsidRPr="00F10EAA">
        <w:rPr>
          <w:rFonts w:ascii="Tahoma" w:hAnsi="Tahoma" w:cs="Tahoma"/>
          <w:sz w:val="20"/>
          <w:szCs w:val="20"/>
        </w:rPr>
        <w:t xml:space="preserve">En esa misma línea de conceptual, Agustín Gordillo señala que: </w:t>
      </w:r>
      <w:r w:rsidRPr="00F10EAA">
        <w:rPr>
          <w:rFonts w:ascii="Tahoma" w:hAnsi="Tahoma" w:cs="Tahoma"/>
          <w:i/>
          <w:sz w:val="20"/>
          <w:szCs w:val="20"/>
        </w:rPr>
        <w:t>“el acto administrativo no notificado (...) puede llegar a ser eficaz mediante la invocación de sus efectos por parte del particular interesado (…)”</w:t>
      </w:r>
      <w:r w:rsidRPr="00F10EAA">
        <w:rPr>
          <w:rStyle w:val="Refdenotaalpie"/>
          <w:rFonts w:ascii="Tahoma" w:hAnsi="Tahoma" w:cs="Tahoma"/>
          <w:i/>
          <w:sz w:val="20"/>
          <w:szCs w:val="20"/>
        </w:rPr>
        <w:footnoteReference w:id="3"/>
      </w:r>
      <w:r w:rsidRPr="00F10EAA">
        <w:rPr>
          <w:rFonts w:ascii="Tahoma" w:hAnsi="Tahoma" w:cs="Tahoma"/>
          <w:i/>
          <w:sz w:val="20"/>
          <w:szCs w:val="20"/>
        </w:rPr>
        <w:t>.</w:t>
      </w:r>
      <w:r w:rsidRPr="00F10EAA">
        <w:rPr>
          <w:rFonts w:ascii="Tahoma" w:hAnsi="Tahoma" w:cs="Tahoma"/>
          <w:sz w:val="20"/>
          <w:szCs w:val="20"/>
        </w:rPr>
        <w:t xml:space="preserve"> </w:t>
      </w:r>
    </w:p>
    <w:p w:rsidR="00F10EAA" w:rsidRPr="00F10EAA" w:rsidRDefault="00F10EAA" w:rsidP="00F10EAA">
      <w:pPr>
        <w:pStyle w:val="Prrafodelista"/>
        <w:jc w:val="both"/>
        <w:rPr>
          <w:rFonts w:ascii="Tahoma" w:hAnsi="Tahoma" w:cs="Tahoma"/>
          <w:sz w:val="20"/>
          <w:szCs w:val="20"/>
        </w:rPr>
      </w:pPr>
    </w:p>
    <w:p w:rsidR="00F10EAA" w:rsidRPr="00F10EAA" w:rsidRDefault="00F10EAA" w:rsidP="00F10EAA">
      <w:pPr>
        <w:pStyle w:val="Prrafodelista"/>
        <w:ind w:left="567"/>
        <w:jc w:val="both"/>
        <w:rPr>
          <w:rFonts w:ascii="Tahoma" w:hAnsi="Tahoma" w:cs="Tahoma"/>
          <w:sz w:val="20"/>
          <w:szCs w:val="20"/>
        </w:rPr>
      </w:pPr>
      <w:r w:rsidRPr="00F10EAA">
        <w:rPr>
          <w:rFonts w:ascii="Tahoma" w:hAnsi="Tahoma" w:cs="Tahoma"/>
          <w:sz w:val="20"/>
          <w:szCs w:val="20"/>
        </w:rPr>
        <w:t xml:space="preserve">Por su parte Roberto Dromi indica que </w:t>
      </w:r>
      <w:r w:rsidRPr="00F10EAA">
        <w:rPr>
          <w:rFonts w:ascii="Tahoma" w:hAnsi="Tahoma" w:cs="Tahoma"/>
          <w:i/>
          <w:sz w:val="20"/>
          <w:szCs w:val="20"/>
        </w:rPr>
        <w:t xml:space="preserve">“si de una presentación espontánea del interesado o su representante surge clara e indubitablemente que está en conocimiento fehaciente de un acto, se tendrá ese acto por notificado” y que “la notificación surtirá efectos desde la fecha de la presentación.” </w:t>
      </w:r>
    </w:p>
    <w:p w:rsidR="00F10EAA" w:rsidRPr="00F10EAA" w:rsidRDefault="00F10EAA" w:rsidP="00F10EAA">
      <w:pPr>
        <w:pStyle w:val="Prrafodelista"/>
        <w:rPr>
          <w:rFonts w:ascii="Tahoma" w:hAnsi="Tahoma" w:cs="Tahoma"/>
          <w:sz w:val="20"/>
          <w:szCs w:val="20"/>
        </w:rPr>
      </w:pPr>
    </w:p>
    <w:p w:rsidR="00F10EAA" w:rsidRPr="00F10EAA" w:rsidRDefault="00F10EAA" w:rsidP="00F10EAA">
      <w:pPr>
        <w:pStyle w:val="Prrafodelista"/>
        <w:numPr>
          <w:ilvl w:val="0"/>
          <w:numId w:val="5"/>
        </w:numPr>
        <w:tabs>
          <w:tab w:val="clear" w:pos="720"/>
          <w:tab w:val="num" w:pos="567"/>
        </w:tabs>
        <w:ind w:left="567" w:hanging="567"/>
        <w:contextualSpacing w:val="0"/>
        <w:jc w:val="both"/>
        <w:rPr>
          <w:rFonts w:ascii="Tahoma" w:hAnsi="Tahoma" w:cs="Tahoma"/>
          <w:sz w:val="20"/>
          <w:szCs w:val="20"/>
        </w:rPr>
      </w:pPr>
      <w:r w:rsidRPr="00F10EAA">
        <w:rPr>
          <w:rFonts w:ascii="Tahoma" w:hAnsi="Tahoma" w:cs="Tahoma"/>
          <w:sz w:val="20"/>
          <w:szCs w:val="20"/>
        </w:rPr>
        <w:t>Conforme a ello, ya se ha señalado que ha existido un defecto en la notificación al haber sido remitida a una dirección que no correspondía al domicilio procesal consignado por los recurrentes; no obstante ello, también se ha resaltado el hecho de que no fueron notificados a un domicilio ajeno para los recurrentes, esto es, su domicilio real, de manera que los integrantes del Consorcio se encontraban en posibilidad de conocer el contenido de la notificación, lo cual efectivamente sucedió y que queda demostrado con la presentación del presente recurso de reconsideración interpuesto. Este último hecho, tal como lo dispone la doctrina especializada sobre el tema en cuestión, no hace más que sanear la notificación hecha defectuosamente.</w:t>
      </w:r>
    </w:p>
    <w:p w:rsidR="00F10EAA" w:rsidRPr="00F10EAA" w:rsidRDefault="00F10EAA" w:rsidP="00F10EAA">
      <w:pPr>
        <w:pStyle w:val="Prrafodelista"/>
        <w:ind w:left="567"/>
        <w:rPr>
          <w:rFonts w:ascii="Tahoma" w:hAnsi="Tahoma" w:cs="Tahoma"/>
          <w:sz w:val="20"/>
          <w:szCs w:val="20"/>
        </w:rPr>
      </w:pPr>
    </w:p>
    <w:p w:rsidR="00F10EAA" w:rsidRPr="00F10EAA" w:rsidRDefault="00F10EAA" w:rsidP="00F10EAA">
      <w:pPr>
        <w:pStyle w:val="Prrafodelista"/>
        <w:numPr>
          <w:ilvl w:val="0"/>
          <w:numId w:val="5"/>
        </w:numPr>
        <w:tabs>
          <w:tab w:val="clear" w:pos="720"/>
          <w:tab w:val="num" w:pos="567"/>
        </w:tabs>
        <w:ind w:left="567" w:hanging="567"/>
        <w:contextualSpacing w:val="0"/>
        <w:jc w:val="both"/>
        <w:rPr>
          <w:rFonts w:ascii="Tahoma" w:hAnsi="Tahoma" w:cs="Tahoma"/>
          <w:sz w:val="20"/>
          <w:szCs w:val="20"/>
        </w:rPr>
      </w:pPr>
      <w:r w:rsidRPr="00F10EAA">
        <w:rPr>
          <w:rFonts w:ascii="Tahoma" w:hAnsi="Tahoma" w:cs="Tahoma"/>
          <w:sz w:val="20"/>
          <w:szCs w:val="20"/>
          <w:lang w:val="es-PE"/>
        </w:rPr>
        <w:t xml:space="preserve">En tal sentido, la referida notificación </w:t>
      </w:r>
      <w:r w:rsidRPr="00F10EAA">
        <w:rPr>
          <w:rFonts w:ascii="Tahoma" w:hAnsi="Tahoma" w:cs="Tahoma"/>
          <w:sz w:val="20"/>
          <w:szCs w:val="20"/>
        </w:rPr>
        <w:t xml:space="preserve">quedó convalida con la presentación del recurso de reconsideración interpuesto por la recurrente, más aún, cuando  el artículo 27 numeral 27.2, de la Ley 27444 establece que </w:t>
      </w:r>
      <w:r w:rsidRPr="00F10EAA">
        <w:rPr>
          <w:rFonts w:ascii="Tahoma" w:hAnsi="Tahoma" w:cs="Tahoma"/>
          <w:b/>
          <w:sz w:val="20"/>
          <w:szCs w:val="20"/>
        </w:rPr>
        <w:t>se entenderá bien notificado al administrado a partir de la realización de actuaciones procedimentales del interesado que permitan suponer razonablemente que tuvo conocimiento oportuno del contenido o alcance de la resolución o interponga cualquier recurso que proceda</w:t>
      </w:r>
      <w:r w:rsidRPr="00F10EAA">
        <w:rPr>
          <w:rStyle w:val="Refdenotaalpie"/>
          <w:rFonts w:ascii="Tahoma" w:hAnsi="Tahoma" w:cs="Tahoma"/>
          <w:b/>
          <w:sz w:val="20"/>
          <w:szCs w:val="20"/>
        </w:rPr>
        <w:footnoteReference w:id="4"/>
      </w:r>
      <w:r w:rsidRPr="00F10EAA">
        <w:rPr>
          <w:rFonts w:ascii="Tahoma" w:hAnsi="Tahoma" w:cs="Tahoma"/>
          <w:sz w:val="20"/>
          <w:szCs w:val="20"/>
        </w:rPr>
        <w:t>.</w:t>
      </w:r>
    </w:p>
    <w:p w:rsidR="00F10EAA" w:rsidRPr="00F10EAA" w:rsidRDefault="00F10EAA" w:rsidP="00F10EAA">
      <w:pPr>
        <w:pStyle w:val="Prrafodelista"/>
        <w:rPr>
          <w:rFonts w:ascii="Tahoma" w:hAnsi="Tahoma" w:cs="Tahoma"/>
          <w:sz w:val="20"/>
          <w:szCs w:val="20"/>
        </w:rPr>
      </w:pPr>
    </w:p>
    <w:p w:rsidR="00F10EAA" w:rsidRPr="00F10EAA" w:rsidRDefault="00F10EAA" w:rsidP="00F10EAA">
      <w:pPr>
        <w:pStyle w:val="Prrafodelista"/>
        <w:numPr>
          <w:ilvl w:val="0"/>
          <w:numId w:val="5"/>
        </w:numPr>
        <w:tabs>
          <w:tab w:val="clear" w:pos="720"/>
          <w:tab w:val="num" w:pos="567"/>
        </w:tabs>
        <w:ind w:left="567" w:hanging="567"/>
        <w:contextualSpacing w:val="0"/>
        <w:jc w:val="both"/>
        <w:rPr>
          <w:rFonts w:ascii="Tahoma" w:hAnsi="Tahoma" w:cs="Tahoma"/>
          <w:sz w:val="20"/>
          <w:szCs w:val="20"/>
        </w:rPr>
      </w:pPr>
      <w:r w:rsidRPr="00F10EAA">
        <w:rPr>
          <w:rFonts w:ascii="Tahoma" w:hAnsi="Tahoma" w:cs="Tahoma"/>
          <w:sz w:val="20"/>
          <w:szCs w:val="20"/>
        </w:rPr>
        <w:t>En tal sentido, y en vista que la recurrente el 27 de mayo de 2010, realizó un acto procedimental que permitió suponer razonablemente que tuvo conocimiento oportuno del contenido de la Resolución antes mencionada, resulta válido concluir que la notificación surtió todos sus efectos jurídicos</w:t>
      </w:r>
      <w:r w:rsidRPr="00F10EAA">
        <w:rPr>
          <w:rFonts w:ascii="Tahoma" w:hAnsi="Tahoma" w:cs="Tahoma"/>
          <w:sz w:val="20"/>
          <w:szCs w:val="20"/>
          <w:lang w:val="es-PE"/>
        </w:rPr>
        <w:t xml:space="preserve">, en consecuencia, </w:t>
      </w:r>
      <w:r w:rsidRPr="00F10EAA">
        <w:rPr>
          <w:rFonts w:ascii="Tahoma" w:hAnsi="Tahoma" w:cs="Tahoma"/>
          <w:sz w:val="20"/>
          <w:szCs w:val="20"/>
          <w:lang w:eastAsia="es-PE"/>
        </w:rPr>
        <w:t>este Colegiado considera saneada la notificación de la Cédulas de Notificación № 12015/2011.TC y № 12016/2011.TC, más aún si ésta fueron comunicadas al domicilio real de los recurrentes.</w:t>
      </w:r>
    </w:p>
    <w:p w:rsidR="00F10EAA" w:rsidRPr="00F10EAA" w:rsidRDefault="00F10EAA" w:rsidP="00F10EAA">
      <w:pPr>
        <w:pStyle w:val="Prrafodelista"/>
        <w:rPr>
          <w:rFonts w:ascii="Tahoma" w:hAnsi="Tahoma" w:cs="Tahoma"/>
          <w:sz w:val="20"/>
          <w:szCs w:val="20"/>
        </w:rPr>
      </w:pPr>
    </w:p>
    <w:p w:rsidR="00F10EAA" w:rsidRPr="00F10EAA" w:rsidRDefault="00F10EAA" w:rsidP="00F10EAA">
      <w:pPr>
        <w:pStyle w:val="Prrafodelista"/>
        <w:numPr>
          <w:ilvl w:val="0"/>
          <w:numId w:val="5"/>
        </w:numPr>
        <w:tabs>
          <w:tab w:val="clear" w:pos="720"/>
          <w:tab w:val="num" w:pos="567"/>
        </w:tabs>
        <w:ind w:left="567" w:hanging="567"/>
        <w:contextualSpacing w:val="0"/>
        <w:jc w:val="both"/>
        <w:rPr>
          <w:rFonts w:ascii="Tahoma" w:hAnsi="Tahoma" w:cs="Tahoma"/>
          <w:sz w:val="20"/>
          <w:szCs w:val="20"/>
        </w:rPr>
      </w:pPr>
      <w:r w:rsidRPr="00F10EAA">
        <w:rPr>
          <w:rFonts w:ascii="Tahoma" w:hAnsi="Tahoma" w:cs="Tahoma"/>
          <w:sz w:val="20"/>
          <w:szCs w:val="20"/>
        </w:rPr>
        <w:t xml:space="preserve">En efecto, a través del escrito presentado el 27 de mayo de 2010, las empresas SERVIL CONSTRUCCIONES S.A.C. y CONSTRUCTORA Y SERVICIOS C &amp; C S.R.L. manifestaron que fueron debidamente notificadas de la Resolución № 823-2011-TC-S1. Resulta, evidente entonces que las mencionadas empresas tomaron conocimiento de la resolución impugnada a través de las </w:t>
      </w:r>
      <w:r w:rsidRPr="00F10EAA">
        <w:rPr>
          <w:rFonts w:ascii="Tahoma" w:hAnsi="Tahoma" w:cs="Tahoma"/>
          <w:sz w:val="20"/>
          <w:szCs w:val="20"/>
          <w:lang w:eastAsia="es-PE"/>
        </w:rPr>
        <w:t xml:space="preserve">Cédulas de Notificación № 12015/2011.TC y № 12016/2011.TC el 19 de mayo de 2011, conforme del cargo de recepción de éstas, documentos que obran el presente expediente administrativo </w:t>
      </w:r>
    </w:p>
    <w:p w:rsidR="00F10EAA" w:rsidRPr="00F10EAA" w:rsidRDefault="00F10EAA" w:rsidP="00F10EAA">
      <w:pPr>
        <w:pStyle w:val="Prrafodelista"/>
        <w:rPr>
          <w:rFonts w:ascii="Tahoma" w:hAnsi="Tahoma" w:cs="Tahoma"/>
          <w:sz w:val="20"/>
          <w:szCs w:val="20"/>
        </w:rPr>
      </w:pPr>
    </w:p>
    <w:p w:rsidR="00F10EAA" w:rsidRPr="00F10EAA" w:rsidRDefault="00F10EAA" w:rsidP="00F10EAA">
      <w:pPr>
        <w:pStyle w:val="Textoindependiente"/>
        <w:widowControl w:val="0"/>
        <w:suppressAutoHyphens/>
        <w:ind w:left="567"/>
        <w:rPr>
          <w:rFonts w:ascii="Tahoma" w:hAnsi="Tahoma" w:cs="Tahoma"/>
          <w:b/>
          <w:sz w:val="20"/>
          <w:szCs w:val="20"/>
        </w:rPr>
      </w:pPr>
      <w:r w:rsidRPr="00F10EAA">
        <w:rPr>
          <w:rFonts w:ascii="Tahoma" w:hAnsi="Tahoma" w:cs="Tahoma"/>
          <w:b/>
          <w:sz w:val="20"/>
          <w:szCs w:val="20"/>
        </w:rPr>
        <w:t>De la procedencia del recurso de reconsideración</w:t>
      </w:r>
    </w:p>
    <w:p w:rsidR="00F10EAA" w:rsidRPr="00F10EAA" w:rsidRDefault="00F10EAA" w:rsidP="00F10EAA">
      <w:pPr>
        <w:pStyle w:val="Sinespaciado"/>
      </w:pPr>
    </w:p>
    <w:p w:rsidR="00F10EAA" w:rsidRDefault="00F10EAA" w:rsidP="00F10EAA">
      <w:pPr>
        <w:pStyle w:val="Textoindependiente"/>
        <w:widowControl w:val="0"/>
        <w:numPr>
          <w:ilvl w:val="0"/>
          <w:numId w:val="5"/>
        </w:numPr>
        <w:tabs>
          <w:tab w:val="clear" w:pos="720"/>
          <w:tab w:val="num" w:pos="567"/>
        </w:tabs>
        <w:suppressAutoHyphens/>
        <w:spacing w:after="0"/>
        <w:ind w:left="567" w:hanging="567"/>
        <w:jc w:val="both"/>
        <w:rPr>
          <w:rFonts w:ascii="Tahoma" w:hAnsi="Tahoma" w:cs="Tahoma"/>
          <w:sz w:val="20"/>
          <w:szCs w:val="20"/>
        </w:rPr>
      </w:pPr>
      <w:r w:rsidRPr="00F10EAA">
        <w:rPr>
          <w:rFonts w:ascii="Tahoma" w:hAnsi="Tahoma" w:cs="Tahoma"/>
          <w:sz w:val="20"/>
          <w:szCs w:val="20"/>
        </w:rPr>
        <w:t>El recurso de reconsideración en los procedimientos administrativos sancionadores a cargo del Tribunal ha sido regulado en el artículo 249 del Reglamento de la Ley de Contrataciones del Estado aprobado mediante Decreto Supremo № 184-2008-EF</w:t>
      </w:r>
      <w:r w:rsidRPr="00F10EAA">
        <w:rPr>
          <w:rFonts w:ascii="Tahoma" w:hAnsi="Tahoma" w:cs="Tahoma"/>
          <w:sz w:val="20"/>
          <w:szCs w:val="20"/>
          <w:vertAlign w:val="superscript"/>
        </w:rPr>
        <w:footnoteReference w:id="5"/>
      </w:r>
      <w:r w:rsidRPr="00F10EAA">
        <w:rPr>
          <w:rFonts w:ascii="Tahoma" w:hAnsi="Tahoma" w:cs="Tahoma"/>
          <w:sz w:val="20"/>
          <w:szCs w:val="20"/>
        </w:rPr>
        <w:t>, en adelante el Reglamento, a cuyo tenor aquél debe ser interpuesto dentro de los cinco (5) días hábiles siguientes de la notificación de la resolución que impone la sanción y resuelto en el término de quince (15) días hábiles desde su presentación o subsanación.</w:t>
      </w:r>
    </w:p>
    <w:p w:rsidR="00F10EAA" w:rsidRDefault="00F10EAA" w:rsidP="00F10EAA">
      <w:pPr>
        <w:pStyle w:val="Textoindependiente"/>
        <w:widowControl w:val="0"/>
        <w:suppressAutoHyphens/>
        <w:spacing w:after="0"/>
        <w:ind w:left="567"/>
        <w:jc w:val="both"/>
        <w:rPr>
          <w:rFonts w:ascii="Tahoma" w:hAnsi="Tahoma" w:cs="Tahoma"/>
          <w:sz w:val="20"/>
          <w:szCs w:val="20"/>
        </w:rPr>
      </w:pPr>
    </w:p>
    <w:p w:rsidR="00F10EAA" w:rsidRDefault="00F10EAA" w:rsidP="00F10EAA">
      <w:pPr>
        <w:pStyle w:val="Textoindependiente"/>
        <w:widowControl w:val="0"/>
        <w:numPr>
          <w:ilvl w:val="0"/>
          <w:numId w:val="5"/>
        </w:numPr>
        <w:tabs>
          <w:tab w:val="clear" w:pos="720"/>
          <w:tab w:val="num" w:pos="567"/>
        </w:tabs>
        <w:suppressAutoHyphens/>
        <w:spacing w:after="0"/>
        <w:ind w:left="567" w:hanging="567"/>
        <w:jc w:val="both"/>
        <w:rPr>
          <w:rFonts w:ascii="Tahoma" w:hAnsi="Tahoma" w:cs="Tahoma"/>
          <w:sz w:val="20"/>
          <w:szCs w:val="20"/>
        </w:rPr>
      </w:pPr>
      <w:r w:rsidRPr="00F10EAA">
        <w:rPr>
          <w:rFonts w:ascii="Tahoma" w:hAnsi="Tahoma" w:cs="Tahoma"/>
          <w:sz w:val="20"/>
          <w:szCs w:val="20"/>
        </w:rPr>
        <w:t xml:space="preserve">En este orden de ideas, el artículo 131 de la Ley № 27444, Ley del Procedimiento Administrativo General, en su inciso primero, señala que </w:t>
      </w:r>
      <w:r w:rsidRPr="00F10EAA">
        <w:rPr>
          <w:rFonts w:ascii="Tahoma" w:hAnsi="Tahoma" w:cs="Tahoma"/>
          <w:b/>
          <w:sz w:val="20"/>
          <w:szCs w:val="20"/>
        </w:rPr>
        <w:t>los plazos y términos son entendidos como máximos</w:t>
      </w:r>
      <w:r w:rsidRPr="00F10EAA">
        <w:rPr>
          <w:rFonts w:ascii="Tahoma" w:hAnsi="Tahoma" w:cs="Tahoma"/>
          <w:sz w:val="20"/>
          <w:szCs w:val="20"/>
        </w:rPr>
        <w:t xml:space="preserve">, se computan independientemente de cualquier formalidad, y obligan por igual a la administración y a los administrados, sin necesidad de apremio, en aquello que respectivamente les concierna. Por su parte, el inciso primero del artículo 136 del mismo cuerpo normativo precisa que </w:t>
      </w:r>
      <w:r w:rsidRPr="00F10EAA">
        <w:rPr>
          <w:rFonts w:ascii="Tahoma" w:hAnsi="Tahoma" w:cs="Tahoma"/>
          <w:b/>
          <w:sz w:val="20"/>
          <w:szCs w:val="20"/>
        </w:rPr>
        <w:t>los plazos fijados por norma expresa son improrrogables</w:t>
      </w:r>
      <w:r w:rsidRPr="00F10EAA">
        <w:rPr>
          <w:rFonts w:ascii="Tahoma" w:hAnsi="Tahoma" w:cs="Tahoma"/>
          <w:sz w:val="20"/>
          <w:szCs w:val="20"/>
        </w:rPr>
        <w:t>, salvo disposición habilitante en contrario</w:t>
      </w:r>
      <w:r w:rsidRPr="00F10EAA">
        <w:rPr>
          <w:rFonts w:ascii="Tahoma" w:hAnsi="Tahoma" w:cs="Tahoma"/>
          <w:i/>
          <w:sz w:val="20"/>
          <w:szCs w:val="20"/>
        </w:rPr>
        <w:t>.</w:t>
      </w:r>
    </w:p>
    <w:p w:rsidR="00F10EAA" w:rsidRDefault="00F10EAA" w:rsidP="00F10EAA">
      <w:pPr>
        <w:pStyle w:val="Prrafodelista"/>
        <w:rPr>
          <w:rFonts w:ascii="Tahoma" w:hAnsi="Tahoma" w:cs="Tahoma"/>
          <w:sz w:val="20"/>
          <w:szCs w:val="20"/>
        </w:rPr>
      </w:pPr>
    </w:p>
    <w:p w:rsidR="00F10EAA" w:rsidRPr="00F10EAA" w:rsidRDefault="00F10EAA" w:rsidP="00F10EAA">
      <w:pPr>
        <w:pStyle w:val="Textoindependiente"/>
        <w:widowControl w:val="0"/>
        <w:numPr>
          <w:ilvl w:val="0"/>
          <w:numId w:val="5"/>
        </w:numPr>
        <w:tabs>
          <w:tab w:val="clear" w:pos="720"/>
          <w:tab w:val="num" w:pos="567"/>
        </w:tabs>
        <w:suppressAutoHyphens/>
        <w:spacing w:after="0"/>
        <w:ind w:left="567" w:hanging="567"/>
        <w:jc w:val="both"/>
        <w:rPr>
          <w:rFonts w:ascii="Tahoma" w:hAnsi="Tahoma" w:cs="Tahoma"/>
          <w:sz w:val="20"/>
          <w:szCs w:val="20"/>
        </w:rPr>
      </w:pPr>
      <w:r w:rsidRPr="00F10EAA">
        <w:rPr>
          <w:rFonts w:ascii="Tahoma" w:hAnsi="Tahoma" w:cs="Tahoma"/>
          <w:sz w:val="20"/>
          <w:szCs w:val="20"/>
        </w:rPr>
        <w:t>En el presente caso, se ha verificado que la Resolución № 823-2011-TC-S1 fue notificada a las empresas SERVIL CONSTRUCCIONES S.A.C. y CONSTRUCTORA y SERVICIOS C &amp; C S.R.L., el 19 de mayo de 2011, por lo que el término con el que dichas empresas contaban para impugnarla vencía el 26 de mayo de 2011. Pese a ello, el aludido recurso fue ingresado a Mesa de Partes del Tribunal el 27 del mayo de 2010; es decir, el recurso fue presentado al sexto día de notificada la resolución.</w:t>
      </w:r>
    </w:p>
    <w:p w:rsidR="00F10EAA" w:rsidRPr="00F10EAA" w:rsidRDefault="00F10EAA" w:rsidP="00F10EAA">
      <w:pPr>
        <w:pStyle w:val="Prrafodelista"/>
        <w:rPr>
          <w:rFonts w:ascii="Tahoma" w:hAnsi="Tahoma" w:cs="Tahoma"/>
          <w:sz w:val="20"/>
          <w:szCs w:val="20"/>
        </w:rPr>
      </w:pPr>
    </w:p>
    <w:p w:rsidR="00F10EAA" w:rsidRPr="00F10EAA" w:rsidRDefault="00F10EAA" w:rsidP="00F10EAA">
      <w:pPr>
        <w:pStyle w:val="Textoindependiente"/>
        <w:widowControl w:val="0"/>
        <w:numPr>
          <w:ilvl w:val="0"/>
          <w:numId w:val="5"/>
        </w:numPr>
        <w:suppressAutoHyphens/>
        <w:spacing w:after="0"/>
        <w:ind w:left="567" w:hanging="567"/>
        <w:jc w:val="both"/>
        <w:rPr>
          <w:rFonts w:ascii="Tahoma" w:hAnsi="Tahoma" w:cs="Tahoma"/>
          <w:sz w:val="20"/>
          <w:szCs w:val="20"/>
        </w:rPr>
      </w:pPr>
      <w:r w:rsidRPr="00F10EAA">
        <w:rPr>
          <w:rFonts w:ascii="Tahoma" w:hAnsi="Tahoma" w:cs="Tahoma"/>
          <w:sz w:val="20"/>
          <w:szCs w:val="20"/>
        </w:rPr>
        <w:t>Consecuentemente, al haber presentado las empresas SERVIL CONSTRUCCIONES S.A.C. y CONSTRUCTORA y SERVICIOS C &amp; C S.R.L. su recurso de reconsideración el 26 de mayo de 2011, éste deviene improcedente por extemporáneo; y, por tanto, queda firme la decisión contenida en la Resolución № 823-2011-TC-S1, de conformidad con lo dispuesto en el artículo 212 de la Ley Nº 27444</w:t>
      </w:r>
      <w:r w:rsidRPr="00F10EAA">
        <w:rPr>
          <w:rStyle w:val="Refdenotaalpie"/>
          <w:rFonts w:ascii="Tahoma" w:hAnsi="Tahoma" w:cs="Tahoma"/>
          <w:sz w:val="20"/>
          <w:szCs w:val="20"/>
        </w:rPr>
        <w:footnoteReference w:id="6"/>
      </w:r>
      <w:r w:rsidRPr="00F10EAA">
        <w:rPr>
          <w:rFonts w:ascii="Tahoma" w:hAnsi="Tahoma" w:cs="Tahoma"/>
          <w:sz w:val="20"/>
          <w:szCs w:val="20"/>
        </w:rPr>
        <w:t>.</w:t>
      </w:r>
    </w:p>
    <w:p w:rsidR="00F10EAA" w:rsidRPr="00F10EAA" w:rsidRDefault="00F10EAA" w:rsidP="00F10EAA">
      <w:pPr>
        <w:pStyle w:val="Prrafodelista"/>
        <w:rPr>
          <w:rFonts w:ascii="Tahoma" w:hAnsi="Tahoma" w:cs="Tahoma"/>
          <w:sz w:val="20"/>
          <w:szCs w:val="20"/>
        </w:rPr>
      </w:pPr>
    </w:p>
    <w:p w:rsidR="00F10EAA" w:rsidRPr="00F10EAA" w:rsidRDefault="00F10EAA" w:rsidP="00F10EAA">
      <w:pPr>
        <w:pStyle w:val="Textoindependiente"/>
        <w:widowControl w:val="0"/>
        <w:numPr>
          <w:ilvl w:val="0"/>
          <w:numId w:val="5"/>
        </w:numPr>
        <w:suppressAutoHyphens/>
        <w:spacing w:after="0"/>
        <w:ind w:left="567" w:hanging="567"/>
        <w:jc w:val="both"/>
        <w:rPr>
          <w:rFonts w:ascii="Tahoma" w:hAnsi="Tahoma" w:cs="Tahoma"/>
          <w:sz w:val="20"/>
          <w:szCs w:val="20"/>
        </w:rPr>
      </w:pPr>
      <w:r w:rsidRPr="00F10EAA">
        <w:rPr>
          <w:rFonts w:ascii="Tahoma" w:hAnsi="Tahoma" w:cs="Tahoma"/>
          <w:sz w:val="20"/>
          <w:szCs w:val="20"/>
        </w:rPr>
        <w:t xml:space="preserve">Por lo tanto, en consideración a lo expuesto, el recurso de reconsideración interpuesto por las mencionadas empresas contra la № 823-2011-TC-S1 debe ser declarado improcedente por extemporáneo, por no haber sido interpuesto dentro del plazo previsto </w:t>
      </w:r>
      <w:r w:rsidRPr="00F10EAA">
        <w:rPr>
          <w:rFonts w:ascii="Tahoma" w:hAnsi="Tahoma" w:cs="Tahoma"/>
          <w:sz w:val="20"/>
          <w:szCs w:val="20"/>
        </w:rPr>
        <w:lastRenderedPageBreak/>
        <w:t xml:space="preserve">en el artículo 249 del Reglamento </w:t>
      </w:r>
      <w:r w:rsidRPr="00F10EAA">
        <w:rPr>
          <w:rFonts w:ascii="Tahoma" w:hAnsi="Tahoma" w:cs="Tahoma"/>
          <w:bCs/>
          <w:sz w:val="20"/>
          <w:szCs w:val="20"/>
        </w:rPr>
        <w:t>de la Ley de Contrataciones del Estado</w:t>
      </w:r>
      <w:r w:rsidRPr="00F10EAA">
        <w:rPr>
          <w:rFonts w:ascii="Tahoma" w:hAnsi="Tahoma" w:cs="Tahoma"/>
          <w:sz w:val="20"/>
          <w:szCs w:val="20"/>
        </w:rPr>
        <w:t>; siendo preciso señalar que con la presente decisión se agota la vía administrativa, situación que deberá considerar el impugnante a efectos que, de estimarlo pertinente, haga uso de los recursos que la ley prevé.</w:t>
      </w:r>
    </w:p>
    <w:p w:rsidR="00F10EAA" w:rsidRPr="00F10EAA" w:rsidRDefault="00F10EAA" w:rsidP="00F10EAA">
      <w:pPr>
        <w:pStyle w:val="Prrafodelista"/>
        <w:rPr>
          <w:rFonts w:ascii="Tahoma" w:hAnsi="Tahoma" w:cs="Tahoma"/>
          <w:sz w:val="20"/>
          <w:szCs w:val="20"/>
        </w:rPr>
      </w:pPr>
    </w:p>
    <w:p w:rsidR="00F10EAA" w:rsidRPr="00F10EAA" w:rsidRDefault="00F10EAA" w:rsidP="00F10EAA">
      <w:pPr>
        <w:widowControl w:val="0"/>
        <w:numPr>
          <w:ilvl w:val="0"/>
          <w:numId w:val="5"/>
        </w:numPr>
        <w:suppressAutoHyphens/>
        <w:ind w:left="567" w:hanging="567"/>
        <w:jc w:val="both"/>
        <w:rPr>
          <w:rFonts w:ascii="Tahoma" w:hAnsi="Tahoma" w:cs="Tahoma"/>
          <w:sz w:val="20"/>
          <w:szCs w:val="20"/>
        </w:rPr>
      </w:pPr>
      <w:r w:rsidRPr="00F10EAA">
        <w:rPr>
          <w:rFonts w:ascii="Tahoma" w:hAnsi="Tahoma" w:cs="Tahoma"/>
          <w:sz w:val="20"/>
          <w:szCs w:val="20"/>
        </w:rPr>
        <w:t>Al respecto, considerando que el presente recurso de reconsideración interpuesto por las empresas  SERVIL CONSTRUCCIONES S.A.C. y CONSTRUCTORA y SERVICIOS C &amp; C S.R.L. deviene</w:t>
      </w:r>
      <w:r w:rsidRPr="00F10EAA">
        <w:rPr>
          <w:rFonts w:ascii="Tahoma" w:hAnsi="Tahoma" w:cs="Tahoma"/>
          <w:snapToGrid w:val="0"/>
          <w:sz w:val="20"/>
          <w:szCs w:val="20"/>
        </w:rPr>
        <w:t xml:space="preserve"> en improcedente, por lo que carece de relevancia emitir pronunciamiento </w:t>
      </w:r>
      <w:r w:rsidRPr="00F10EAA">
        <w:rPr>
          <w:rFonts w:ascii="Tahoma" w:hAnsi="Tahoma" w:cs="Tahoma"/>
          <w:sz w:val="20"/>
          <w:szCs w:val="20"/>
        </w:rPr>
        <w:t xml:space="preserve">sobre los aspectos sustanciales del recurso planteado. </w:t>
      </w:r>
    </w:p>
    <w:p w:rsidR="00F10EAA" w:rsidRPr="00F10EAA" w:rsidRDefault="00F10EAA" w:rsidP="00F10EAA">
      <w:pPr>
        <w:pStyle w:val="Prrafodelista"/>
        <w:rPr>
          <w:rFonts w:ascii="Tahoma" w:hAnsi="Tahoma" w:cs="Tahoma"/>
          <w:sz w:val="20"/>
          <w:szCs w:val="20"/>
        </w:rPr>
      </w:pPr>
    </w:p>
    <w:p w:rsidR="00F10EAA" w:rsidRPr="00F10EAA" w:rsidRDefault="00F10EAA" w:rsidP="00F10EAA">
      <w:pPr>
        <w:widowControl w:val="0"/>
        <w:numPr>
          <w:ilvl w:val="0"/>
          <w:numId w:val="5"/>
        </w:numPr>
        <w:suppressAutoHyphens/>
        <w:ind w:left="567" w:hanging="567"/>
        <w:jc w:val="both"/>
        <w:rPr>
          <w:rFonts w:ascii="Tahoma" w:hAnsi="Tahoma" w:cs="Tahoma"/>
          <w:sz w:val="20"/>
          <w:szCs w:val="20"/>
        </w:rPr>
      </w:pPr>
      <w:r w:rsidRPr="00F10EAA">
        <w:rPr>
          <w:rFonts w:ascii="Tahoma" w:hAnsi="Tahoma" w:cs="Tahoma"/>
          <w:sz w:val="20"/>
          <w:szCs w:val="20"/>
        </w:rPr>
        <w:t>Asimismo, en tanto que este Colegiado no se pronunciará sobre el fondo de la controversia, se considera que resultaría inoficioso convocar a Audiencia Pública, toda vez que en la misma se sustentarán sus argumentos sobre aspectos sustanciales del recurso presentado.</w:t>
      </w:r>
    </w:p>
    <w:p w:rsidR="00711297" w:rsidRPr="00F10EAA" w:rsidRDefault="00711297" w:rsidP="00986843">
      <w:pPr>
        <w:pStyle w:val="Prrafodelista"/>
        <w:jc w:val="both"/>
        <w:rPr>
          <w:rFonts w:ascii="Tahoma" w:hAnsi="Tahoma" w:cs="Tahoma"/>
          <w:sz w:val="20"/>
          <w:szCs w:val="20"/>
        </w:rPr>
      </w:pPr>
    </w:p>
    <w:p w:rsidR="00AE30EA" w:rsidRPr="00F10EAA" w:rsidRDefault="00AE30EA" w:rsidP="00AE30EA">
      <w:pPr>
        <w:ind w:left="567" w:firstLine="567"/>
        <w:jc w:val="both"/>
        <w:rPr>
          <w:rFonts w:ascii="Tahoma" w:hAnsi="Tahoma" w:cs="Tahoma"/>
          <w:sz w:val="20"/>
          <w:szCs w:val="20"/>
        </w:rPr>
      </w:pPr>
      <w:r w:rsidRPr="00F10EAA">
        <w:rPr>
          <w:rFonts w:ascii="Tahoma" w:hAnsi="Tahoma" w:cs="Tahoma"/>
          <w:color w:val="000000"/>
          <w:sz w:val="20"/>
          <w:szCs w:val="20"/>
        </w:rPr>
        <w:t xml:space="preserve">Por estos fundamentos, de conformidad con el informe del Vocal Ponente </w:t>
      </w:r>
      <w:r w:rsidRPr="00F10EAA">
        <w:rPr>
          <w:rFonts w:ascii="Tahoma" w:hAnsi="Tahoma" w:cs="Tahoma"/>
          <w:sz w:val="20"/>
          <w:szCs w:val="20"/>
        </w:rPr>
        <w:t>Doctor Carlos Vicente Navas Rondón</w:t>
      </w:r>
      <w:r w:rsidRPr="00F10EAA">
        <w:rPr>
          <w:rFonts w:ascii="Tahoma" w:hAnsi="Tahoma" w:cs="Tahoma"/>
          <w:color w:val="000000"/>
          <w:sz w:val="20"/>
          <w:szCs w:val="20"/>
        </w:rPr>
        <w:t xml:space="preserve"> y la intervención de las Vocales Dra. Janette Elke Ramírez Maynetto y Dra. Ada Basulto Liewald, y atendiendo a la reconformación de la Primera Sala del Tribunal de Contrataciones del Estado según lo dispuesto en la Resolución № 103-2011-OSCE/PRE de fecha 15 de febrero de 2011, y en ejercicio de las facultades conferidas en los artículos 53, 59 y 61 aprobado por Decreto Legislativo 1017, Ley de Contrataciones del Estado, su Reglamento, aprobado por Decreto Supremo № 184-2008-EF, y los artículos 17 y 18 del Reglamento de Organización y Funciones del OSCE, aprobado por Decreto Supremo № 006-2009-EF; analizados los antecedentes y luego de agotado el debate correspondiente, por unanimidad;</w:t>
      </w:r>
    </w:p>
    <w:p w:rsidR="00711297" w:rsidRPr="00F10EAA" w:rsidRDefault="00711297" w:rsidP="00986843">
      <w:pPr>
        <w:pStyle w:val="Sinespaciado"/>
        <w:jc w:val="both"/>
        <w:rPr>
          <w:rFonts w:ascii="Tahoma" w:hAnsi="Tahoma" w:cs="Tahoma"/>
          <w:sz w:val="20"/>
          <w:szCs w:val="20"/>
        </w:rPr>
      </w:pPr>
    </w:p>
    <w:p w:rsidR="00711297" w:rsidRPr="00F10EAA" w:rsidRDefault="00711297" w:rsidP="00986843">
      <w:pPr>
        <w:tabs>
          <w:tab w:val="num" w:pos="360"/>
          <w:tab w:val="left" w:pos="8280"/>
        </w:tabs>
        <w:jc w:val="both"/>
        <w:rPr>
          <w:rFonts w:ascii="Tahoma" w:hAnsi="Tahoma" w:cs="Tahoma"/>
          <w:b/>
          <w:sz w:val="20"/>
          <w:szCs w:val="20"/>
        </w:rPr>
      </w:pPr>
      <w:r w:rsidRPr="00F10EAA">
        <w:rPr>
          <w:rFonts w:ascii="Tahoma" w:hAnsi="Tahoma" w:cs="Tahoma"/>
          <w:b/>
          <w:sz w:val="20"/>
          <w:szCs w:val="20"/>
        </w:rPr>
        <w:t>LA SALA RESUELVE:</w:t>
      </w:r>
    </w:p>
    <w:p w:rsidR="00711297" w:rsidRPr="00F10EAA" w:rsidRDefault="00711297" w:rsidP="00986843">
      <w:pPr>
        <w:tabs>
          <w:tab w:val="num" w:pos="360"/>
          <w:tab w:val="left" w:pos="8280"/>
        </w:tabs>
        <w:jc w:val="both"/>
        <w:rPr>
          <w:rFonts w:ascii="Tahoma" w:hAnsi="Tahoma" w:cs="Tahoma"/>
          <w:b/>
          <w:sz w:val="20"/>
          <w:szCs w:val="20"/>
        </w:rPr>
      </w:pPr>
    </w:p>
    <w:p w:rsidR="00F10EAA" w:rsidRPr="00F10EAA" w:rsidRDefault="00F10EAA" w:rsidP="00F10EAA">
      <w:pPr>
        <w:numPr>
          <w:ilvl w:val="0"/>
          <w:numId w:val="30"/>
        </w:numPr>
        <w:ind w:left="567" w:hanging="567"/>
        <w:jc w:val="both"/>
        <w:rPr>
          <w:rFonts w:ascii="Tahoma" w:hAnsi="Tahoma" w:cs="Tahoma"/>
          <w:sz w:val="20"/>
          <w:szCs w:val="20"/>
        </w:rPr>
      </w:pPr>
      <w:r w:rsidRPr="00F10EAA">
        <w:rPr>
          <w:rFonts w:ascii="Tahoma" w:hAnsi="Tahoma" w:cs="Tahoma"/>
          <w:sz w:val="20"/>
          <w:szCs w:val="20"/>
        </w:rPr>
        <w:t>Declarar improcedente por extemporáneo el recurso de reconsideración interpuesto por las empresas SERVIL CONSTRUCCIONES S.A.C. y CONSTRUCTORA y SERVICIOS C &amp; C S.R.L. contra la Resolución № 823-2011-TC-S1 de fecha 17 de mayo de 2011, por los fundamentos expuestos, debiendo archivarse el presente expediente.</w:t>
      </w:r>
    </w:p>
    <w:p w:rsidR="00F10EAA" w:rsidRPr="00F10EAA" w:rsidRDefault="00F10EAA" w:rsidP="00F10EAA">
      <w:pPr>
        <w:ind w:left="567"/>
        <w:rPr>
          <w:rFonts w:ascii="Tahoma" w:hAnsi="Tahoma" w:cs="Tahoma"/>
          <w:sz w:val="20"/>
          <w:szCs w:val="20"/>
        </w:rPr>
      </w:pPr>
    </w:p>
    <w:p w:rsidR="00F10EAA" w:rsidRPr="00F10EAA" w:rsidRDefault="00F10EAA" w:rsidP="00F10EAA">
      <w:pPr>
        <w:numPr>
          <w:ilvl w:val="0"/>
          <w:numId w:val="30"/>
        </w:numPr>
        <w:ind w:left="567" w:hanging="567"/>
        <w:jc w:val="both"/>
        <w:rPr>
          <w:rFonts w:ascii="Tahoma" w:hAnsi="Tahoma" w:cs="Tahoma"/>
          <w:sz w:val="20"/>
          <w:szCs w:val="20"/>
        </w:rPr>
      </w:pPr>
      <w:r w:rsidRPr="00F10EAA">
        <w:rPr>
          <w:rFonts w:ascii="Tahoma" w:hAnsi="Tahoma" w:cs="Tahoma"/>
          <w:sz w:val="20"/>
          <w:szCs w:val="20"/>
        </w:rPr>
        <w:t xml:space="preserve">Poner la presente Resolución en conocimiento de la Subdirección del Registro Nacional de Proveedores del Organismo Superior de Contrataciones del Estado (OSCE), para las anotaciones de ley. </w:t>
      </w:r>
    </w:p>
    <w:p w:rsidR="00F10EAA" w:rsidRPr="00F10EAA" w:rsidRDefault="00F10EAA" w:rsidP="00F10EAA">
      <w:pPr>
        <w:pStyle w:val="Prrafodelista"/>
        <w:rPr>
          <w:rFonts w:ascii="Tahoma" w:hAnsi="Tahoma" w:cs="Tahoma"/>
          <w:sz w:val="20"/>
          <w:szCs w:val="20"/>
        </w:rPr>
      </w:pPr>
    </w:p>
    <w:p w:rsidR="00F10EAA" w:rsidRPr="00F10EAA" w:rsidRDefault="00F10EAA" w:rsidP="00F10EAA">
      <w:pPr>
        <w:numPr>
          <w:ilvl w:val="0"/>
          <w:numId w:val="30"/>
        </w:numPr>
        <w:ind w:left="567" w:hanging="567"/>
        <w:jc w:val="both"/>
        <w:rPr>
          <w:rFonts w:ascii="Tahoma" w:hAnsi="Tahoma" w:cs="Tahoma"/>
          <w:sz w:val="20"/>
          <w:szCs w:val="20"/>
        </w:rPr>
      </w:pPr>
      <w:r w:rsidRPr="00F10EAA">
        <w:rPr>
          <w:rFonts w:ascii="Tahoma" w:hAnsi="Tahoma" w:cs="Tahoma"/>
          <w:sz w:val="20"/>
          <w:szCs w:val="20"/>
        </w:rPr>
        <w:t>Ejecutar la garantía otorgada para la interposición del presente recurso de reconsideración.</w:t>
      </w:r>
    </w:p>
    <w:p w:rsidR="00F10EAA" w:rsidRPr="00F10EAA" w:rsidRDefault="00F10EAA" w:rsidP="00F10EAA">
      <w:pPr>
        <w:pStyle w:val="Prrafodelista"/>
        <w:rPr>
          <w:rFonts w:ascii="Tahoma" w:hAnsi="Tahoma" w:cs="Tahoma"/>
          <w:sz w:val="20"/>
          <w:szCs w:val="20"/>
        </w:rPr>
      </w:pPr>
    </w:p>
    <w:p w:rsidR="00F10EAA" w:rsidRPr="00F10EAA" w:rsidRDefault="00F10EAA" w:rsidP="00F10EAA">
      <w:pPr>
        <w:numPr>
          <w:ilvl w:val="0"/>
          <w:numId w:val="30"/>
        </w:numPr>
        <w:ind w:left="567" w:hanging="567"/>
        <w:jc w:val="both"/>
        <w:rPr>
          <w:rFonts w:ascii="Tahoma" w:hAnsi="Tahoma" w:cs="Tahoma"/>
          <w:sz w:val="20"/>
          <w:szCs w:val="20"/>
        </w:rPr>
      </w:pPr>
      <w:r w:rsidRPr="00F10EAA">
        <w:rPr>
          <w:rFonts w:ascii="Tahoma" w:hAnsi="Tahoma" w:cs="Tahoma"/>
          <w:sz w:val="20"/>
          <w:szCs w:val="20"/>
        </w:rPr>
        <w:t xml:space="preserve">Dar por agotada la vía administrativa. </w:t>
      </w:r>
    </w:p>
    <w:p w:rsidR="00C46DE3" w:rsidRPr="00F10EAA" w:rsidRDefault="00C46DE3" w:rsidP="00C46DE3">
      <w:pPr>
        <w:pStyle w:val="Prrafodelista"/>
        <w:ind w:left="1134"/>
        <w:rPr>
          <w:rFonts w:ascii="Tahoma" w:hAnsi="Tahoma" w:cs="Tahoma"/>
          <w:bCs/>
          <w:sz w:val="20"/>
          <w:szCs w:val="20"/>
        </w:rPr>
      </w:pPr>
    </w:p>
    <w:p w:rsidR="00C46DE3" w:rsidRPr="00F10EAA" w:rsidRDefault="00C46DE3" w:rsidP="00C46DE3">
      <w:pPr>
        <w:pStyle w:val="Prrafodelista"/>
        <w:rPr>
          <w:rFonts w:ascii="Tahoma" w:hAnsi="Tahoma" w:cs="Tahoma"/>
          <w:sz w:val="20"/>
          <w:szCs w:val="20"/>
        </w:rPr>
      </w:pPr>
    </w:p>
    <w:p w:rsidR="00877F0D" w:rsidRDefault="00877F0D" w:rsidP="00986843">
      <w:pPr>
        <w:ind w:left="540"/>
        <w:jc w:val="both"/>
        <w:rPr>
          <w:rFonts w:ascii="Tahoma" w:hAnsi="Tahoma" w:cs="Tahoma"/>
          <w:sz w:val="20"/>
          <w:szCs w:val="20"/>
        </w:rPr>
      </w:pPr>
    </w:p>
    <w:p w:rsidR="00E427F6" w:rsidRDefault="00E427F6" w:rsidP="00986843">
      <w:pPr>
        <w:ind w:left="540"/>
        <w:jc w:val="both"/>
        <w:rPr>
          <w:rFonts w:ascii="Tahoma" w:hAnsi="Tahoma" w:cs="Tahoma"/>
          <w:sz w:val="20"/>
          <w:szCs w:val="20"/>
        </w:rPr>
      </w:pPr>
    </w:p>
    <w:p w:rsidR="00E427F6" w:rsidRDefault="00E427F6" w:rsidP="00986843">
      <w:pPr>
        <w:ind w:left="540"/>
        <w:jc w:val="both"/>
        <w:rPr>
          <w:rFonts w:ascii="Tahoma" w:hAnsi="Tahoma" w:cs="Tahoma"/>
          <w:sz w:val="20"/>
          <w:szCs w:val="20"/>
        </w:rPr>
      </w:pPr>
    </w:p>
    <w:p w:rsidR="00E427F6" w:rsidRDefault="00E427F6" w:rsidP="00986843">
      <w:pPr>
        <w:ind w:left="540"/>
        <w:jc w:val="both"/>
        <w:rPr>
          <w:rFonts w:ascii="Tahoma" w:hAnsi="Tahoma" w:cs="Tahoma"/>
          <w:sz w:val="20"/>
          <w:szCs w:val="20"/>
        </w:rPr>
      </w:pPr>
    </w:p>
    <w:p w:rsidR="00E427F6" w:rsidRDefault="00E427F6" w:rsidP="00986843">
      <w:pPr>
        <w:ind w:left="540"/>
        <w:jc w:val="both"/>
        <w:rPr>
          <w:rFonts w:ascii="Tahoma" w:hAnsi="Tahoma" w:cs="Tahoma"/>
          <w:sz w:val="20"/>
          <w:szCs w:val="20"/>
        </w:rPr>
      </w:pPr>
    </w:p>
    <w:p w:rsidR="00E427F6" w:rsidRPr="00F10EAA" w:rsidRDefault="00E427F6" w:rsidP="00986843">
      <w:pPr>
        <w:ind w:left="540"/>
        <w:jc w:val="both"/>
        <w:rPr>
          <w:rFonts w:ascii="Tahoma" w:hAnsi="Tahoma" w:cs="Tahoma"/>
          <w:sz w:val="20"/>
          <w:szCs w:val="20"/>
        </w:rPr>
      </w:pPr>
    </w:p>
    <w:p w:rsidR="00711297" w:rsidRPr="00F10EAA" w:rsidRDefault="00711297" w:rsidP="00986843">
      <w:pPr>
        <w:tabs>
          <w:tab w:val="num" w:pos="540"/>
        </w:tabs>
        <w:jc w:val="both"/>
        <w:rPr>
          <w:rFonts w:ascii="Tahoma" w:hAnsi="Tahoma" w:cs="Tahoma"/>
          <w:sz w:val="20"/>
          <w:szCs w:val="20"/>
        </w:rPr>
      </w:pPr>
      <w:r w:rsidRPr="00F10EAA">
        <w:rPr>
          <w:rFonts w:ascii="Tahoma" w:hAnsi="Tahoma" w:cs="Tahoma"/>
          <w:sz w:val="20"/>
          <w:szCs w:val="20"/>
        </w:rPr>
        <w:lastRenderedPageBreak/>
        <w:t>Regístrese, comuníquese y publíquese.</w:t>
      </w:r>
    </w:p>
    <w:p w:rsidR="00711297" w:rsidRPr="00F10EAA" w:rsidRDefault="00711297" w:rsidP="00986843">
      <w:pPr>
        <w:tabs>
          <w:tab w:val="num" w:pos="540"/>
        </w:tabs>
        <w:jc w:val="both"/>
        <w:rPr>
          <w:rFonts w:ascii="Tahoma" w:hAnsi="Tahoma" w:cs="Tahoma"/>
          <w:sz w:val="20"/>
          <w:szCs w:val="20"/>
        </w:rPr>
      </w:pPr>
    </w:p>
    <w:p w:rsidR="00711297" w:rsidRPr="00F10EAA" w:rsidRDefault="00711297" w:rsidP="00986843">
      <w:pPr>
        <w:jc w:val="both"/>
        <w:rPr>
          <w:rFonts w:ascii="Tahoma" w:hAnsi="Tahoma" w:cs="Tahoma"/>
          <w:b/>
          <w:shadow/>
          <w:sz w:val="20"/>
          <w:szCs w:val="20"/>
          <w:lang w:val="pt-BR"/>
        </w:rPr>
      </w:pPr>
    </w:p>
    <w:p w:rsidR="00711297" w:rsidRDefault="00711297" w:rsidP="00986843">
      <w:pPr>
        <w:jc w:val="both"/>
        <w:rPr>
          <w:rFonts w:ascii="Tahoma" w:hAnsi="Tahoma" w:cs="Tahoma"/>
          <w:b/>
          <w:shadow/>
          <w:sz w:val="20"/>
          <w:szCs w:val="20"/>
          <w:lang w:val="pt-BR"/>
        </w:rPr>
      </w:pPr>
    </w:p>
    <w:p w:rsidR="00E427F6" w:rsidRDefault="00E427F6" w:rsidP="00986843">
      <w:pPr>
        <w:jc w:val="both"/>
        <w:rPr>
          <w:rFonts w:ascii="Tahoma" w:hAnsi="Tahoma" w:cs="Tahoma"/>
          <w:b/>
          <w:shadow/>
          <w:sz w:val="20"/>
          <w:szCs w:val="20"/>
          <w:lang w:val="pt-BR"/>
        </w:rPr>
      </w:pPr>
    </w:p>
    <w:p w:rsidR="00E427F6" w:rsidRDefault="00E427F6" w:rsidP="00986843">
      <w:pPr>
        <w:jc w:val="both"/>
        <w:rPr>
          <w:rFonts w:ascii="Tahoma" w:hAnsi="Tahoma" w:cs="Tahoma"/>
          <w:b/>
          <w:shadow/>
          <w:sz w:val="20"/>
          <w:szCs w:val="20"/>
          <w:lang w:val="pt-BR"/>
        </w:rPr>
      </w:pPr>
    </w:p>
    <w:p w:rsidR="00E427F6" w:rsidRPr="00F10EAA" w:rsidRDefault="00E427F6" w:rsidP="00986843">
      <w:pPr>
        <w:jc w:val="both"/>
        <w:rPr>
          <w:rFonts w:ascii="Tahoma" w:hAnsi="Tahoma" w:cs="Tahoma"/>
          <w:b/>
          <w:shadow/>
          <w:sz w:val="20"/>
          <w:szCs w:val="20"/>
          <w:lang w:val="pt-BR"/>
        </w:rPr>
      </w:pPr>
    </w:p>
    <w:p w:rsidR="00101193" w:rsidRPr="00F10EAA" w:rsidRDefault="00101193" w:rsidP="00986843">
      <w:pPr>
        <w:jc w:val="both"/>
        <w:rPr>
          <w:rFonts w:ascii="Tahoma" w:hAnsi="Tahoma" w:cs="Tahoma"/>
          <w:b/>
          <w:shadow/>
          <w:sz w:val="20"/>
          <w:szCs w:val="20"/>
          <w:lang w:val="pt-BR"/>
        </w:rPr>
      </w:pPr>
    </w:p>
    <w:p w:rsidR="00711297" w:rsidRPr="00F10EAA" w:rsidRDefault="00711297" w:rsidP="00491A1B">
      <w:pPr>
        <w:pStyle w:val="Prrafodelista"/>
        <w:jc w:val="center"/>
        <w:rPr>
          <w:rFonts w:ascii="Tahoma" w:hAnsi="Tahoma" w:cs="Tahoma"/>
          <w:b/>
          <w:shadow/>
          <w:sz w:val="20"/>
          <w:szCs w:val="20"/>
          <w:lang w:val="pt-BR"/>
        </w:rPr>
      </w:pPr>
      <w:r w:rsidRPr="00F10EAA">
        <w:rPr>
          <w:rFonts w:ascii="Tahoma" w:hAnsi="Tahoma" w:cs="Tahoma"/>
          <w:b/>
          <w:shadow/>
          <w:sz w:val="20"/>
          <w:szCs w:val="20"/>
          <w:lang w:val="pt-BR"/>
        </w:rPr>
        <w:t>PRESIDENTE</w:t>
      </w:r>
    </w:p>
    <w:p w:rsidR="00711297" w:rsidRPr="00F10EAA" w:rsidRDefault="00711297" w:rsidP="00491A1B">
      <w:pPr>
        <w:pStyle w:val="Prrafodelista"/>
        <w:jc w:val="center"/>
        <w:rPr>
          <w:rFonts w:ascii="Tahoma" w:hAnsi="Tahoma" w:cs="Tahoma"/>
          <w:b/>
          <w:shadow/>
          <w:sz w:val="20"/>
          <w:szCs w:val="20"/>
          <w:lang w:val="pt-BR"/>
        </w:rPr>
      </w:pPr>
    </w:p>
    <w:p w:rsidR="00711297" w:rsidRPr="00F10EAA" w:rsidRDefault="00711297" w:rsidP="00491A1B">
      <w:pPr>
        <w:pStyle w:val="Prrafodelista"/>
        <w:jc w:val="center"/>
        <w:rPr>
          <w:rFonts w:ascii="Tahoma" w:hAnsi="Tahoma" w:cs="Tahoma"/>
          <w:b/>
          <w:shadow/>
          <w:sz w:val="20"/>
          <w:szCs w:val="20"/>
          <w:lang w:val="pt-BR"/>
        </w:rPr>
      </w:pPr>
    </w:p>
    <w:p w:rsidR="00711297" w:rsidRPr="00F10EAA" w:rsidRDefault="00711297" w:rsidP="00491A1B">
      <w:pPr>
        <w:ind w:left="360"/>
        <w:jc w:val="center"/>
        <w:rPr>
          <w:rFonts w:ascii="Tahoma" w:hAnsi="Tahoma" w:cs="Tahoma"/>
          <w:b/>
          <w:shadow/>
          <w:sz w:val="20"/>
          <w:szCs w:val="20"/>
          <w:lang w:val="pt-BR"/>
        </w:rPr>
      </w:pPr>
    </w:p>
    <w:p w:rsidR="00711297" w:rsidRPr="00F10EAA" w:rsidRDefault="00711297" w:rsidP="00491A1B">
      <w:pPr>
        <w:jc w:val="center"/>
        <w:rPr>
          <w:rFonts w:ascii="Tahoma" w:hAnsi="Tahoma" w:cs="Tahoma"/>
          <w:b/>
          <w:shadow/>
          <w:sz w:val="20"/>
          <w:szCs w:val="20"/>
          <w:lang w:val="pt-BR"/>
        </w:rPr>
      </w:pPr>
    </w:p>
    <w:p w:rsidR="00711297" w:rsidRPr="00F10EAA" w:rsidRDefault="00711297" w:rsidP="00491A1B">
      <w:pPr>
        <w:ind w:left="708" w:hanging="708"/>
        <w:jc w:val="center"/>
        <w:rPr>
          <w:rFonts w:ascii="Tahoma" w:hAnsi="Tahoma" w:cs="Tahoma"/>
          <w:b/>
          <w:shadow/>
          <w:sz w:val="20"/>
          <w:szCs w:val="20"/>
          <w:lang w:val="pt-BR"/>
        </w:rPr>
      </w:pPr>
      <w:r w:rsidRPr="00F10EAA">
        <w:rPr>
          <w:rFonts w:ascii="Tahoma" w:hAnsi="Tahoma" w:cs="Tahoma"/>
          <w:b/>
          <w:shadow/>
          <w:sz w:val="20"/>
          <w:szCs w:val="20"/>
          <w:lang w:val="pt-BR"/>
        </w:rPr>
        <w:t>VOCAL                                                                                                 VOCAL</w:t>
      </w:r>
    </w:p>
    <w:p w:rsidR="00711297" w:rsidRPr="00F10EAA" w:rsidRDefault="00711297" w:rsidP="00986843">
      <w:pPr>
        <w:ind w:left="360"/>
        <w:jc w:val="both"/>
        <w:rPr>
          <w:rFonts w:ascii="Tahoma" w:hAnsi="Tahoma" w:cs="Tahoma"/>
          <w:shadow/>
          <w:sz w:val="20"/>
          <w:szCs w:val="20"/>
          <w:lang w:val="pt-BR"/>
        </w:rPr>
      </w:pPr>
    </w:p>
    <w:p w:rsidR="00162FCA" w:rsidRPr="00F10EAA" w:rsidRDefault="00162FCA" w:rsidP="00986843">
      <w:pPr>
        <w:ind w:left="360"/>
        <w:jc w:val="both"/>
        <w:rPr>
          <w:rFonts w:ascii="Tahoma" w:hAnsi="Tahoma" w:cs="Tahoma"/>
          <w:shadow/>
          <w:sz w:val="20"/>
          <w:szCs w:val="20"/>
          <w:lang w:val="pt-BR"/>
        </w:rPr>
      </w:pPr>
    </w:p>
    <w:p w:rsidR="00162FCA" w:rsidRPr="00F10EAA" w:rsidRDefault="00162FCA" w:rsidP="00986843">
      <w:pPr>
        <w:ind w:left="360"/>
        <w:jc w:val="both"/>
        <w:rPr>
          <w:rFonts w:ascii="Tahoma" w:hAnsi="Tahoma" w:cs="Tahoma"/>
          <w:shadow/>
          <w:sz w:val="20"/>
          <w:szCs w:val="20"/>
          <w:lang w:val="pt-BR"/>
        </w:rPr>
      </w:pPr>
    </w:p>
    <w:p w:rsidR="00C46DE3" w:rsidRPr="00F10EAA" w:rsidRDefault="00C46DE3" w:rsidP="00C46DE3">
      <w:pPr>
        <w:pStyle w:val="Textoindependiente21"/>
        <w:rPr>
          <w:rFonts w:cs="Tahoma"/>
          <w:sz w:val="20"/>
          <w:lang w:val="pt-BR"/>
        </w:rPr>
      </w:pPr>
    </w:p>
    <w:p w:rsidR="00C46DE3" w:rsidRPr="00F10EAA" w:rsidRDefault="00C46DE3" w:rsidP="00C46DE3">
      <w:pPr>
        <w:pStyle w:val="Textoindependiente21"/>
        <w:rPr>
          <w:rFonts w:cs="Tahoma"/>
          <w:sz w:val="20"/>
          <w:lang w:val="pt-BR"/>
        </w:rPr>
      </w:pPr>
      <w:r w:rsidRPr="00F10EAA">
        <w:rPr>
          <w:rFonts w:cs="Tahoma"/>
          <w:sz w:val="20"/>
          <w:lang w:val="pt-BR"/>
        </w:rPr>
        <w:t>ss.</w:t>
      </w:r>
    </w:p>
    <w:p w:rsidR="00554A3C" w:rsidRPr="00F10EAA" w:rsidRDefault="00554A3C" w:rsidP="00554A3C">
      <w:pPr>
        <w:jc w:val="both"/>
        <w:rPr>
          <w:rFonts w:ascii="Tahoma" w:hAnsi="Tahoma" w:cs="Tahoma"/>
          <w:sz w:val="20"/>
          <w:szCs w:val="20"/>
        </w:rPr>
      </w:pPr>
      <w:r w:rsidRPr="00F10EAA">
        <w:rPr>
          <w:rFonts w:ascii="Tahoma" w:hAnsi="Tahoma" w:cs="Tahoma"/>
          <w:sz w:val="20"/>
          <w:szCs w:val="20"/>
        </w:rPr>
        <w:t>Navas Rondón</w:t>
      </w:r>
    </w:p>
    <w:p w:rsidR="00554A3C" w:rsidRPr="00F10EAA" w:rsidRDefault="00554A3C" w:rsidP="00554A3C">
      <w:pPr>
        <w:jc w:val="both"/>
        <w:rPr>
          <w:rFonts w:ascii="Tahoma" w:hAnsi="Tahoma" w:cs="Tahoma"/>
          <w:color w:val="000000"/>
          <w:sz w:val="20"/>
          <w:szCs w:val="20"/>
        </w:rPr>
      </w:pPr>
      <w:r w:rsidRPr="00F10EAA">
        <w:rPr>
          <w:rFonts w:ascii="Tahoma" w:hAnsi="Tahoma" w:cs="Tahoma"/>
          <w:color w:val="000000"/>
          <w:sz w:val="20"/>
          <w:szCs w:val="20"/>
        </w:rPr>
        <w:t xml:space="preserve">Ramírez Maynetto </w:t>
      </w:r>
    </w:p>
    <w:p w:rsidR="00554A3C" w:rsidRPr="00F10EAA" w:rsidRDefault="00554A3C" w:rsidP="00554A3C">
      <w:pPr>
        <w:jc w:val="both"/>
        <w:rPr>
          <w:rFonts w:ascii="Tahoma" w:hAnsi="Tahoma" w:cs="Tahoma"/>
          <w:sz w:val="20"/>
          <w:szCs w:val="20"/>
        </w:rPr>
      </w:pPr>
      <w:r w:rsidRPr="00F10EAA">
        <w:rPr>
          <w:rFonts w:ascii="Tahoma" w:hAnsi="Tahoma" w:cs="Tahoma"/>
          <w:sz w:val="20"/>
          <w:szCs w:val="20"/>
        </w:rPr>
        <w:t>Basulto Liewald.</w:t>
      </w:r>
    </w:p>
    <w:p w:rsidR="00212795" w:rsidRPr="00F10EAA" w:rsidRDefault="00212795" w:rsidP="005673D8">
      <w:pPr>
        <w:pStyle w:val="Textoindependiente21"/>
        <w:rPr>
          <w:rFonts w:cs="Tahoma"/>
          <w:sz w:val="20"/>
        </w:rPr>
      </w:pPr>
    </w:p>
    <w:sectPr w:rsidR="00212795" w:rsidRPr="00F10EAA" w:rsidSect="00904E87">
      <w:headerReference w:type="default" r:id="rId7"/>
      <w:footerReference w:type="default" r:id="rId8"/>
      <w:pgSz w:w="11906" w:h="16838"/>
      <w:pgMar w:top="3403" w:right="1701" w:bottom="1560"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50D5" w:rsidRDefault="00D650D5" w:rsidP="00711297">
      <w:r>
        <w:separator/>
      </w:r>
    </w:p>
  </w:endnote>
  <w:endnote w:type="continuationSeparator" w:id="1">
    <w:p w:rsidR="00D650D5" w:rsidRDefault="00D650D5" w:rsidP="00711297">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00"/>
    <w:family w:val="swiss"/>
    <w:pitch w:val="variable"/>
    <w:sig w:usb0="61002A87" w:usb1="80000000" w:usb2="00000008" w:usb3="00000000" w:csb0="0001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79313"/>
      <w:docPartObj>
        <w:docPartGallery w:val="Page Numbers (Bottom of Page)"/>
        <w:docPartUnique/>
      </w:docPartObj>
    </w:sdtPr>
    <w:sdtContent>
      <w:p w:rsidR="00491A1B" w:rsidRDefault="00B115F1">
        <w:pPr>
          <w:pStyle w:val="Piedepgina"/>
          <w:jc w:val="center"/>
        </w:pPr>
        <w:fldSimple w:instr=" PAGE   \* MERGEFORMAT ">
          <w:r w:rsidR="00FC137C">
            <w:rPr>
              <w:noProof/>
            </w:rPr>
            <w:t>1</w:t>
          </w:r>
        </w:fldSimple>
      </w:p>
    </w:sdtContent>
  </w:sdt>
  <w:p w:rsidR="00904E87" w:rsidRDefault="00D650D5">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50D5" w:rsidRDefault="00D650D5" w:rsidP="00711297">
      <w:r>
        <w:separator/>
      </w:r>
    </w:p>
  </w:footnote>
  <w:footnote w:type="continuationSeparator" w:id="1">
    <w:p w:rsidR="00D650D5" w:rsidRDefault="00D650D5" w:rsidP="00711297">
      <w:r>
        <w:continuationSeparator/>
      </w:r>
    </w:p>
  </w:footnote>
  <w:footnote w:id="2">
    <w:p w:rsidR="00F10EAA" w:rsidRPr="00991A62" w:rsidRDefault="00F10EAA" w:rsidP="00F10EAA">
      <w:pPr>
        <w:pStyle w:val="Textonotapie"/>
        <w:rPr>
          <w:sz w:val="18"/>
          <w:szCs w:val="18"/>
        </w:rPr>
      </w:pPr>
      <w:r w:rsidRPr="00991A62">
        <w:rPr>
          <w:rStyle w:val="Refdenotaalpie"/>
          <w:sz w:val="18"/>
          <w:szCs w:val="18"/>
        </w:rPr>
        <w:footnoteRef/>
      </w:r>
      <w:r w:rsidRPr="00991A62">
        <w:rPr>
          <w:sz w:val="18"/>
          <w:szCs w:val="18"/>
        </w:rPr>
        <w:t xml:space="preserve"> MORÓN URBINA, Juan Carlos. </w:t>
      </w:r>
      <w:r w:rsidRPr="00991A62">
        <w:rPr>
          <w:i/>
          <w:sz w:val="18"/>
          <w:szCs w:val="18"/>
        </w:rPr>
        <w:t>Comentarios a la Ley de Procedimiento Administrativo General</w:t>
      </w:r>
      <w:r w:rsidRPr="00991A62">
        <w:rPr>
          <w:sz w:val="18"/>
          <w:szCs w:val="18"/>
        </w:rPr>
        <w:t xml:space="preserve">.  Sétima Edición. Gaceta Jurídica, 2008. p. 193-194 </w:t>
      </w:r>
    </w:p>
  </w:footnote>
  <w:footnote w:id="3">
    <w:p w:rsidR="00F10EAA" w:rsidRPr="00991A62" w:rsidRDefault="00F10EAA" w:rsidP="00F10EAA">
      <w:pPr>
        <w:pStyle w:val="Textonotapie"/>
        <w:rPr>
          <w:rFonts w:cs="Tahoma"/>
          <w:sz w:val="18"/>
          <w:szCs w:val="18"/>
        </w:rPr>
      </w:pPr>
      <w:r w:rsidRPr="00991A62">
        <w:rPr>
          <w:rStyle w:val="Refdenotaalpie"/>
          <w:rFonts w:cs="Tahoma"/>
          <w:sz w:val="18"/>
          <w:szCs w:val="18"/>
        </w:rPr>
        <w:footnoteRef/>
      </w:r>
      <w:r w:rsidRPr="00991A62">
        <w:rPr>
          <w:rFonts w:cs="Tahoma"/>
          <w:sz w:val="18"/>
          <w:szCs w:val="18"/>
        </w:rPr>
        <w:t xml:space="preserve"> GORDILLO Agustín, </w:t>
      </w:r>
      <w:r w:rsidRPr="00991A62">
        <w:rPr>
          <w:rFonts w:cs="Tahoma"/>
          <w:i/>
          <w:sz w:val="18"/>
          <w:szCs w:val="18"/>
        </w:rPr>
        <w:t>“Tratado de Derecho Administrativo”</w:t>
      </w:r>
      <w:r w:rsidRPr="00991A62">
        <w:rPr>
          <w:rFonts w:cs="Tahoma"/>
          <w:sz w:val="18"/>
          <w:szCs w:val="18"/>
        </w:rPr>
        <w:t xml:space="preserve"> tomo 3, 6ta. Edición y 1era Edición Peruana, Lima ARA Editores Y F.D.A., 2003.</w:t>
      </w:r>
    </w:p>
    <w:p w:rsidR="00F10EAA" w:rsidRPr="00991A62" w:rsidRDefault="00F10EAA" w:rsidP="00F10EAA">
      <w:pPr>
        <w:pStyle w:val="Textonotapie"/>
        <w:rPr>
          <w:rFonts w:cs="Tahoma"/>
          <w:sz w:val="18"/>
          <w:szCs w:val="18"/>
        </w:rPr>
      </w:pPr>
    </w:p>
  </w:footnote>
  <w:footnote w:id="4">
    <w:p w:rsidR="00F10EAA" w:rsidRDefault="00F10EAA" w:rsidP="00F10EAA">
      <w:pPr>
        <w:pStyle w:val="Textonotapie"/>
        <w:ind w:hanging="168"/>
      </w:pPr>
      <w:r w:rsidRPr="00991A62">
        <w:rPr>
          <w:rStyle w:val="Refdenotaalpie"/>
          <w:sz w:val="18"/>
          <w:szCs w:val="18"/>
        </w:rPr>
        <w:footnoteRef/>
      </w:r>
      <w:r w:rsidRPr="00991A62">
        <w:rPr>
          <w:sz w:val="18"/>
          <w:szCs w:val="18"/>
        </w:rPr>
        <w:t xml:space="preserve"> Este criterio ha sido señalado en reiterada jurisprudencia administrativa de este tribunal, a través de diversas resoluciones, tales como: Resoluciones Nº 1093-2010-TC-S1, </w:t>
      </w:r>
      <w:r w:rsidRPr="00991A62">
        <w:rPr>
          <w:rFonts w:cs="Tahoma"/>
          <w:sz w:val="18"/>
          <w:szCs w:val="18"/>
        </w:rPr>
        <w:t>Nº 360-2009-TC-S3, Nº</w:t>
      </w:r>
      <w:r w:rsidRPr="00991A62">
        <w:rPr>
          <w:rFonts w:cs="Tahoma"/>
          <w:sz w:val="18"/>
          <w:szCs w:val="18"/>
          <w:lang w:val="es-PE"/>
        </w:rPr>
        <w:t xml:space="preserve"> 1636-2008-TC-S3, Nº 2099-2008-TC-S3, entre otras.</w:t>
      </w:r>
    </w:p>
  </w:footnote>
  <w:footnote w:id="5">
    <w:p w:rsidR="00F10EAA" w:rsidRPr="00F10EAA" w:rsidRDefault="00F10EAA" w:rsidP="00F10EAA">
      <w:pPr>
        <w:pStyle w:val="Textonotapie"/>
        <w:jc w:val="both"/>
        <w:rPr>
          <w:sz w:val="16"/>
          <w:szCs w:val="16"/>
          <w:lang w:val="es-PE"/>
        </w:rPr>
      </w:pPr>
      <w:r w:rsidRPr="00F10EAA">
        <w:rPr>
          <w:rStyle w:val="Refdenotaalpie"/>
          <w:sz w:val="16"/>
          <w:szCs w:val="16"/>
        </w:rPr>
        <w:footnoteRef/>
      </w:r>
      <w:r w:rsidRPr="00F10EAA">
        <w:rPr>
          <w:b/>
          <w:sz w:val="16"/>
          <w:szCs w:val="16"/>
        </w:rPr>
        <w:t xml:space="preserve"> </w:t>
      </w:r>
      <w:r w:rsidRPr="00F10EAA">
        <w:rPr>
          <w:b/>
          <w:sz w:val="16"/>
          <w:szCs w:val="16"/>
          <w:lang w:val="es-PE"/>
        </w:rPr>
        <w:t>Artículo 249.- Recurso de Reconsideración.-</w:t>
      </w:r>
      <w:r w:rsidRPr="00F10EAA">
        <w:rPr>
          <w:sz w:val="16"/>
          <w:szCs w:val="16"/>
          <w:lang w:val="es-PE"/>
        </w:rPr>
        <w:t xml:space="preserve"> Contra lo resuelto por el Tribunal en un procedimiento sancionador podrá interponerse Recurso de Reconsideración dentro de los cinco (5) días hábiles de notificada o publicada la respectiva resolución. (…)</w:t>
      </w:r>
    </w:p>
    <w:p w:rsidR="00F10EAA" w:rsidRPr="00F10EAA" w:rsidRDefault="00F10EAA" w:rsidP="00F10EAA">
      <w:pPr>
        <w:pStyle w:val="Textonotapie"/>
        <w:jc w:val="both"/>
        <w:rPr>
          <w:sz w:val="16"/>
          <w:szCs w:val="16"/>
          <w:lang w:val="es-PE"/>
        </w:rPr>
      </w:pPr>
      <w:r w:rsidRPr="00F10EAA">
        <w:rPr>
          <w:sz w:val="16"/>
          <w:szCs w:val="16"/>
          <w:lang w:val="es-PE"/>
        </w:rPr>
        <w:t>El tribunal resolverá dentro del plazo de quince (15) días hábiles improrrogables de presentado sin observaciones o subsanado el recurso de reconsideración.</w:t>
      </w:r>
    </w:p>
    <w:p w:rsidR="00F10EAA" w:rsidRPr="00F10EAA" w:rsidRDefault="00F10EAA" w:rsidP="00F10EAA">
      <w:pPr>
        <w:pStyle w:val="Textonotapie"/>
        <w:ind w:left="180"/>
        <w:jc w:val="both"/>
        <w:rPr>
          <w:i/>
          <w:sz w:val="16"/>
          <w:szCs w:val="16"/>
        </w:rPr>
      </w:pPr>
    </w:p>
  </w:footnote>
  <w:footnote w:id="6">
    <w:p w:rsidR="00F10EAA" w:rsidRPr="00F10EAA" w:rsidRDefault="00F10EAA" w:rsidP="00F10EAA">
      <w:pPr>
        <w:pStyle w:val="Sinespaciado"/>
        <w:jc w:val="both"/>
        <w:rPr>
          <w:rFonts w:ascii="Times New Roman" w:hAnsi="Times New Roman"/>
          <w:b/>
          <w:sz w:val="16"/>
          <w:szCs w:val="16"/>
          <w:lang w:val="es-ES_tradnl"/>
        </w:rPr>
      </w:pPr>
      <w:r w:rsidRPr="00F10EAA">
        <w:rPr>
          <w:rStyle w:val="Refdenotaalpie"/>
          <w:rFonts w:ascii="Times New Roman" w:hAnsi="Times New Roman"/>
          <w:b/>
          <w:sz w:val="16"/>
          <w:szCs w:val="16"/>
        </w:rPr>
        <w:footnoteRef/>
      </w:r>
      <w:r w:rsidRPr="00F10EAA">
        <w:rPr>
          <w:rFonts w:ascii="Times New Roman" w:hAnsi="Times New Roman"/>
          <w:sz w:val="16"/>
          <w:szCs w:val="16"/>
        </w:rPr>
        <w:t xml:space="preserve"> </w:t>
      </w:r>
      <w:r w:rsidRPr="00F10EAA">
        <w:rPr>
          <w:rFonts w:ascii="Times New Roman" w:hAnsi="Times New Roman"/>
          <w:b/>
          <w:sz w:val="16"/>
          <w:szCs w:val="16"/>
          <w:lang w:val="es-ES_tradnl"/>
        </w:rPr>
        <w:t>Artículo 212.- Acto firme</w:t>
      </w:r>
    </w:p>
    <w:p w:rsidR="00F10EAA" w:rsidRPr="00F77417" w:rsidRDefault="00F10EAA" w:rsidP="00F10EAA">
      <w:pPr>
        <w:pStyle w:val="Sinespaciado"/>
        <w:jc w:val="both"/>
        <w:rPr>
          <w:rFonts w:ascii="Tahoma" w:hAnsi="Tahoma" w:cs="Tahoma"/>
          <w:sz w:val="20"/>
          <w:szCs w:val="20"/>
          <w:lang w:val="es-ES_tradnl"/>
        </w:rPr>
      </w:pPr>
      <w:r w:rsidRPr="00F10EAA">
        <w:rPr>
          <w:rFonts w:ascii="Times New Roman" w:hAnsi="Times New Roman"/>
          <w:sz w:val="16"/>
          <w:szCs w:val="16"/>
          <w:lang w:val="es-ES_tradnl"/>
        </w:rPr>
        <w:t>Una vez vencidos los plazos para interponer los recursos administrativos se perderá el derecho a articularlos quedando firme el acto.</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137C" w:rsidRDefault="00FC137C" w:rsidP="00FC137C">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FC137C" w:rsidRDefault="00FC137C" w:rsidP="00FC137C">
    <w:pPr>
      <w:pStyle w:val="Encabezado"/>
      <w:rPr>
        <w:noProof/>
      </w:rPr>
    </w:pPr>
  </w:p>
  <w:p w:rsidR="00FC137C" w:rsidRDefault="00FC137C" w:rsidP="00FC137C">
    <w:pPr>
      <w:pStyle w:val="Encabezado"/>
      <w:rPr>
        <w:noProof/>
      </w:rPr>
    </w:pPr>
  </w:p>
  <w:p w:rsidR="00FC137C" w:rsidRDefault="00FC137C" w:rsidP="00FC137C">
    <w:pPr>
      <w:pStyle w:val="Encabezado"/>
      <w:rPr>
        <w:noProof/>
      </w:rPr>
    </w:pPr>
  </w:p>
  <w:p w:rsidR="00FC137C" w:rsidRDefault="00FC137C" w:rsidP="00FC137C">
    <w:pPr>
      <w:pStyle w:val="Encabezado"/>
      <w:jc w:val="center"/>
    </w:pPr>
    <w:r>
      <w:rPr>
        <w:rFonts w:ascii="Monotype Corsiva" w:hAnsi="Monotype Corsiva"/>
        <w:b/>
        <w:sz w:val="44"/>
        <w:szCs w:val="44"/>
      </w:rPr>
      <w:t xml:space="preserve">Resolución Nº   </w:t>
    </w:r>
    <w:r>
      <w:rPr>
        <w:rFonts w:ascii="Tahoma" w:hAnsi="Tahoma" w:cs="Tahoma"/>
        <w:b/>
        <w:sz w:val="44"/>
        <w:szCs w:val="44"/>
      </w:rPr>
      <w:t>1065-2011-TC-S1</w:t>
    </w:r>
  </w:p>
  <w:p w:rsidR="00FC137C" w:rsidRDefault="00FC137C">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204BB"/>
    <w:multiLevelType w:val="hybridMultilevel"/>
    <w:tmpl w:val="6A8AA334"/>
    <w:lvl w:ilvl="0" w:tplc="784A44CC">
      <w:start w:val="1"/>
      <w:numFmt w:val="decimal"/>
      <w:lvlText w:val="%1."/>
      <w:lvlJc w:val="left"/>
      <w:pPr>
        <w:ind w:left="720" w:hanging="360"/>
      </w:pPr>
      <w:rPr>
        <w:rFonts w:ascii="Tahoma" w:hAnsi="Tahoma" w:cs="Tahoma" w:hint="default"/>
        <w:b/>
        <w:i w:val="0"/>
        <w:sz w:val="20"/>
        <w:szCs w:val="20"/>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06011100"/>
    <w:multiLevelType w:val="hybridMultilevel"/>
    <w:tmpl w:val="E3501DDE"/>
    <w:lvl w:ilvl="0" w:tplc="0C0A0017">
      <w:start w:val="1"/>
      <w:numFmt w:val="lowerLetter"/>
      <w:lvlText w:val="%1)"/>
      <w:lvlJc w:val="left"/>
      <w:pPr>
        <w:ind w:left="1287" w:hanging="360"/>
      </w:pPr>
      <w:rPr>
        <w:b/>
      </w:r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2">
    <w:nsid w:val="094E2944"/>
    <w:multiLevelType w:val="hybridMultilevel"/>
    <w:tmpl w:val="51080654"/>
    <w:lvl w:ilvl="0" w:tplc="110415B6">
      <w:start w:val="1"/>
      <w:numFmt w:val="decimal"/>
      <w:lvlText w:val="%1."/>
      <w:lvlJc w:val="left"/>
      <w:pPr>
        <w:tabs>
          <w:tab w:val="num" w:pos="720"/>
        </w:tabs>
        <w:ind w:left="720" w:hanging="360"/>
      </w:pPr>
      <w:rPr>
        <w:rFonts w:ascii="Tahoma" w:hAnsi="Tahoma" w:cs="Tahoma" w:hint="default"/>
        <w:b/>
        <w:i w:val="0"/>
        <w:shadow/>
        <w:sz w:val="20"/>
        <w:szCs w:val="20"/>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nsid w:val="24E642A4"/>
    <w:multiLevelType w:val="hybridMultilevel"/>
    <w:tmpl w:val="B8E84A46"/>
    <w:lvl w:ilvl="0" w:tplc="64C07A18">
      <w:start w:val="1"/>
      <w:numFmt w:val="lowerLetter"/>
      <w:lvlText w:val="%1."/>
      <w:lvlJc w:val="left"/>
      <w:pPr>
        <w:ind w:left="1287" w:hanging="360"/>
      </w:pPr>
    </w:lvl>
    <w:lvl w:ilvl="1" w:tplc="70F2732C" w:tentative="1">
      <w:start w:val="1"/>
      <w:numFmt w:val="lowerLetter"/>
      <w:lvlText w:val="%2."/>
      <w:lvlJc w:val="left"/>
      <w:pPr>
        <w:ind w:left="2007" w:hanging="360"/>
      </w:pPr>
    </w:lvl>
    <w:lvl w:ilvl="2" w:tplc="1068C93C" w:tentative="1">
      <w:start w:val="1"/>
      <w:numFmt w:val="lowerRoman"/>
      <w:lvlText w:val="%3."/>
      <w:lvlJc w:val="right"/>
      <w:pPr>
        <w:ind w:left="2727" w:hanging="180"/>
      </w:pPr>
    </w:lvl>
    <w:lvl w:ilvl="3" w:tplc="213A255C"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4">
    <w:nsid w:val="30F60E13"/>
    <w:multiLevelType w:val="hybridMultilevel"/>
    <w:tmpl w:val="D39495C2"/>
    <w:lvl w:ilvl="0" w:tplc="BC464342">
      <w:start w:val="1"/>
      <w:numFmt w:val="lowerRoman"/>
      <w:lvlText w:val="%1."/>
      <w:lvlJc w:val="right"/>
      <w:pPr>
        <w:ind w:left="927" w:hanging="360"/>
      </w:pPr>
      <w:rPr>
        <w:rFonts w:hint="default"/>
        <w:b/>
        <w:i w:val="0"/>
        <w:sz w:val="20"/>
        <w:szCs w:val="20"/>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5">
    <w:nsid w:val="353575A8"/>
    <w:multiLevelType w:val="hybridMultilevel"/>
    <w:tmpl w:val="54F0E0A2"/>
    <w:lvl w:ilvl="0" w:tplc="64C07A18">
      <w:start w:val="1"/>
      <w:numFmt w:val="decimal"/>
      <w:lvlText w:val="%1."/>
      <w:lvlJc w:val="left"/>
      <w:pPr>
        <w:ind w:left="360" w:hanging="360"/>
      </w:pPr>
      <w:rPr>
        <w:b/>
      </w:rPr>
    </w:lvl>
    <w:lvl w:ilvl="1" w:tplc="70F2732C" w:tentative="1">
      <w:start w:val="1"/>
      <w:numFmt w:val="lowerLetter"/>
      <w:lvlText w:val="%2."/>
      <w:lvlJc w:val="left"/>
      <w:pPr>
        <w:ind w:left="1080" w:hanging="360"/>
      </w:pPr>
    </w:lvl>
    <w:lvl w:ilvl="2" w:tplc="1068C93C" w:tentative="1">
      <w:start w:val="1"/>
      <w:numFmt w:val="lowerRoman"/>
      <w:lvlText w:val="%3."/>
      <w:lvlJc w:val="right"/>
      <w:pPr>
        <w:ind w:left="1800" w:hanging="180"/>
      </w:pPr>
    </w:lvl>
    <w:lvl w:ilvl="3" w:tplc="213A255C"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6">
    <w:nsid w:val="36C13996"/>
    <w:multiLevelType w:val="hybridMultilevel"/>
    <w:tmpl w:val="3940A9BE"/>
    <w:lvl w:ilvl="0" w:tplc="5150BA24">
      <w:start w:val="1"/>
      <w:numFmt w:val="lowerRoman"/>
      <w:lvlText w:val="%1."/>
      <w:lvlJc w:val="right"/>
      <w:pPr>
        <w:ind w:left="1440" w:hanging="360"/>
      </w:pPr>
      <w:rPr>
        <w:b/>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7">
    <w:nsid w:val="3A3F51B8"/>
    <w:multiLevelType w:val="hybridMultilevel"/>
    <w:tmpl w:val="54F0E0A2"/>
    <w:lvl w:ilvl="0" w:tplc="E2603F10">
      <w:start w:val="1"/>
      <w:numFmt w:val="decimal"/>
      <w:lvlText w:val="%1."/>
      <w:lvlJc w:val="left"/>
      <w:pPr>
        <w:ind w:left="360" w:hanging="360"/>
      </w:pPr>
      <w:rPr>
        <w:b/>
      </w:r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8">
    <w:nsid w:val="3B7B237C"/>
    <w:multiLevelType w:val="hybridMultilevel"/>
    <w:tmpl w:val="012444D4"/>
    <w:lvl w:ilvl="0" w:tplc="64C07A18">
      <w:start w:val="1"/>
      <w:numFmt w:val="decimal"/>
      <w:lvlText w:val="%1."/>
      <w:lvlJc w:val="left"/>
      <w:pPr>
        <w:tabs>
          <w:tab w:val="num" w:pos="720"/>
        </w:tabs>
        <w:ind w:left="720" w:hanging="360"/>
      </w:pPr>
      <w:rPr>
        <w:b/>
      </w:rPr>
    </w:lvl>
    <w:lvl w:ilvl="1" w:tplc="70F2732C">
      <w:start w:val="1"/>
      <w:numFmt w:val="lowerLetter"/>
      <w:lvlText w:val="%2."/>
      <w:lvlJc w:val="left"/>
      <w:pPr>
        <w:tabs>
          <w:tab w:val="num" w:pos="1440"/>
        </w:tabs>
        <w:ind w:left="1440" w:hanging="360"/>
      </w:pPr>
    </w:lvl>
    <w:lvl w:ilvl="2" w:tplc="1068C93C">
      <w:start w:val="1"/>
      <w:numFmt w:val="lowerLetter"/>
      <w:lvlText w:val="%3)"/>
      <w:lvlJc w:val="left"/>
      <w:pPr>
        <w:tabs>
          <w:tab w:val="num" w:pos="2340"/>
        </w:tabs>
        <w:ind w:left="2340" w:hanging="360"/>
      </w:pPr>
      <w:rPr>
        <w:rFonts w:hint="default"/>
      </w:rPr>
    </w:lvl>
    <w:lvl w:ilvl="3" w:tplc="213A255C"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nsid w:val="40497296"/>
    <w:multiLevelType w:val="hybridMultilevel"/>
    <w:tmpl w:val="C2221798"/>
    <w:lvl w:ilvl="0" w:tplc="64C07A18">
      <w:start w:val="1"/>
      <w:numFmt w:val="lowerLetter"/>
      <w:lvlText w:val="%1)"/>
      <w:lvlJc w:val="left"/>
      <w:pPr>
        <w:ind w:left="1800" w:hanging="360"/>
      </w:pPr>
      <w:rPr>
        <w:b/>
      </w:rPr>
    </w:lvl>
    <w:lvl w:ilvl="1" w:tplc="70F2732C" w:tentative="1">
      <w:start w:val="1"/>
      <w:numFmt w:val="lowerLetter"/>
      <w:lvlText w:val="%2."/>
      <w:lvlJc w:val="left"/>
      <w:pPr>
        <w:ind w:left="2520" w:hanging="360"/>
      </w:pPr>
    </w:lvl>
    <w:lvl w:ilvl="2" w:tplc="1068C93C" w:tentative="1">
      <w:start w:val="1"/>
      <w:numFmt w:val="lowerRoman"/>
      <w:lvlText w:val="%3."/>
      <w:lvlJc w:val="right"/>
      <w:pPr>
        <w:ind w:left="3240" w:hanging="180"/>
      </w:pPr>
    </w:lvl>
    <w:lvl w:ilvl="3" w:tplc="213A255C" w:tentative="1">
      <w:start w:val="1"/>
      <w:numFmt w:val="decimal"/>
      <w:lvlText w:val="%4."/>
      <w:lvlJc w:val="left"/>
      <w:pPr>
        <w:ind w:left="3960" w:hanging="360"/>
      </w:pPr>
    </w:lvl>
    <w:lvl w:ilvl="4" w:tplc="0C0A0019" w:tentative="1">
      <w:start w:val="1"/>
      <w:numFmt w:val="lowerLetter"/>
      <w:lvlText w:val="%5."/>
      <w:lvlJc w:val="left"/>
      <w:pPr>
        <w:ind w:left="4680" w:hanging="360"/>
      </w:pPr>
    </w:lvl>
    <w:lvl w:ilvl="5" w:tplc="0C0A001B" w:tentative="1">
      <w:start w:val="1"/>
      <w:numFmt w:val="lowerRoman"/>
      <w:lvlText w:val="%6."/>
      <w:lvlJc w:val="right"/>
      <w:pPr>
        <w:ind w:left="5400" w:hanging="180"/>
      </w:pPr>
    </w:lvl>
    <w:lvl w:ilvl="6" w:tplc="0C0A000F" w:tentative="1">
      <w:start w:val="1"/>
      <w:numFmt w:val="decimal"/>
      <w:lvlText w:val="%7."/>
      <w:lvlJc w:val="left"/>
      <w:pPr>
        <w:ind w:left="6120" w:hanging="360"/>
      </w:pPr>
    </w:lvl>
    <w:lvl w:ilvl="7" w:tplc="0C0A0019" w:tentative="1">
      <w:start w:val="1"/>
      <w:numFmt w:val="lowerLetter"/>
      <w:lvlText w:val="%8."/>
      <w:lvlJc w:val="left"/>
      <w:pPr>
        <w:ind w:left="6840" w:hanging="360"/>
      </w:pPr>
    </w:lvl>
    <w:lvl w:ilvl="8" w:tplc="0C0A001B" w:tentative="1">
      <w:start w:val="1"/>
      <w:numFmt w:val="lowerRoman"/>
      <w:lvlText w:val="%9."/>
      <w:lvlJc w:val="right"/>
      <w:pPr>
        <w:ind w:left="7560" w:hanging="180"/>
      </w:pPr>
    </w:lvl>
  </w:abstractNum>
  <w:abstractNum w:abstractNumId="10">
    <w:nsid w:val="452C5B89"/>
    <w:multiLevelType w:val="hybridMultilevel"/>
    <w:tmpl w:val="3940A9BE"/>
    <w:lvl w:ilvl="0" w:tplc="26EEE608">
      <w:start w:val="1"/>
      <w:numFmt w:val="lowerRoman"/>
      <w:lvlText w:val="%1."/>
      <w:lvlJc w:val="right"/>
      <w:pPr>
        <w:ind w:left="1440" w:hanging="360"/>
      </w:pPr>
      <w:rPr>
        <w:b/>
      </w:rPr>
    </w:lvl>
    <w:lvl w:ilvl="1" w:tplc="51769F8C" w:tentative="1">
      <w:start w:val="1"/>
      <w:numFmt w:val="lowerLetter"/>
      <w:lvlText w:val="%2."/>
      <w:lvlJc w:val="left"/>
      <w:pPr>
        <w:ind w:left="2160" w:hanging="360"/>
      </w:pPr>
    </w:lvl>
    <w:lvl w:ilvl="2" w:tplc="3A8094B6" w:tentative="1">
      <w:start w:val="1"/>
      <w:numFmt w:val="lowerRoman"/>
      <w:lvlText w:val="%3."/>
      <w:lvlJc w:val="right"/>
      <w:pPr>
        <w:ind w:left="2880" w:hanging="180"/>
      </w:pPr>
    </w:lvl>
    <w:lvl w:ilvl="3" w:tplc="90AC9E70" w:tentative="1">
      <w:start w:val="1"/>
      <w:numFmt w:val="decimal"/>
      <w:lvlText w:val="%4."/>
      <w:lvlJc w:val="left"/>
      <w:pPr>
        <w:ind w:left="3600" w:hanging="360"/>
      </w:pPr>
    </w:lvl>
    <w:lvl w:ilvl="4" w:tplc="CC1A8702" w:tentative="1">
      <w:start w:val="1"/>
      <w:numFmt w:val="lowerLetter"/>
      <w:lvlText w:val="%5."/>
      <w:lvlJc w:val="left"/>
      <w:pPr>
        <w:ind w:left="4320" w:hanging="360"/>
      </w:pPr>
    </w:lvl>
    <w:lvl w:ilvl="5" w:tplc="D1F68552" w:tentative="1">
      <w:start w:val="1"/>
      <w:numFmt w:val="lowerRoman"/>
      <w:lvlText w:val="%6."/>
      <w:lvlJc w:val="right"/>
      <w:pPr>
        <w:ind w:left="5040" w:hanging="180"/>
      </w:pPr>
    </w:lvl>
    <w:lvl w:ilvl="6" w:tplc="FE76A0E6" w:tentative="1">
      <w:start w:val="1"/>
      <w:numFmt w:val="decimal"/>
      <w:lvlText w:val="%7."/>
      <w:lvlJc w:val="left"/>
      <w:pPr>
        <w:ind w:left="5760" w:hanging="360"/>
      </w:pPr>
    </w:lvl>
    <w:lvl w:ilvl="7" w:tplc="358CA20A" w:tentative="1">
      <w:start w:val="1"/>
      <w:numFmt w:val="lowerLetter"/>
      <w:lvlText w:val="%8."/>
      <w:lvlJc w:val="left"/>
      <w:pPr>
        <w:ind w:left="6480" w:hanging="360"/>
      </w:pPr>
    </w:lvl>
    <w:lvl w:ilvl="8" w:tplc="DC1A7A36" w:tentative="1">
      <w:start w:val="1"/>
      <w:numFmt w:val="lowerRoman"/>
      <w:lvlText w:val="%9."/>
      <w:lvlJc w:val="right"/>
      <w:pPr>
        <w:ind w:left="7200" w:hanging="180"/>
      </w:pPr>
    </w:lvl>
  </w:abstractNum>
  <w:abstractNum w:abstractNumId="11">
    <w:nsid w:val="53B76387"/>
    <w:multiLevelType w:val="hybridMultilevel"/>
    <w:tmpl w:val="B172E634"/>
    <w:lvl w:ilvl="0" w:tplc="F7B2FA96">
      <w:start w:val="1"/>
      <w:numFmt w:val="decimal"/>
      <w:lvlText w:val="%1."/>
      <w:lvlJc w:val="left"/>
      <w:pPr>
        <w:ind w:left="720" w:hanging="360"/>
      </w:pPr>
      <w:rPr>
        <w:rFonts w:ascii="Tahoma" w:hAnsi="Tahoma" w:cs="Tahoma" w:hint="default"/>
        <w:b/>
        <w:i w:val="0"/>
        <w:color w:val="auto"/>
      </w:rPr>
    </w:lvl>
    <w:lvl w:ilvl="1" w:tplc="29FC20E4">
      <w:start w:val="5"/>
      <w:numFmt w:val="upperLetter"/>
      <w:lvlText w:val="%2."/>
      <w:lvlJc w:val="left"/>
      <w:pPr>
        <w:tabs>
          <w:tab w:val="num" w:pos="1440"/>
        </w:tabs>
        <w:ind w:left="1440" w:hanging="360"/>
      </w:pPr>
      <w:rPr>
        <w:rFonts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54F73FDD"/>
    <w:multiLevelType w:val="hybridMultilevel"/>
    <w:tmpl w:val="015C6C94"/>
    <w:lvl w:ilvl="0" w:tplc="64C07A18">
      <w:start w:val="1"/>
      <w:numFmt w:val="lowerRoman"/>
      <w:lvlText w:val="%1."/>
      <w:lvlJc w:val="right"/>
      <w:pPr>
        <w:tabs>
          <w:tab w:val="num" w:pos="1287"/>
        </w:tabs>
        <w:ind w:left="1287" w:hanging="720"/>
      </w:pPr>
      <w:rPr>
        <w:rFonts w:hint="default"/>
        <w:b/>
        <w:sz w:val="24"/>
        <w:szCs w:val="24"/>
      </w:rPr>
    </w:lvl>
    <w:lvl w:ilvl="1" w:tplc="70F2732C" w:tentative="1">
      <w:start w:val="1"/>
      <w:numFmt w:val="lowerLetter"/>
      <w:lvlText w:val="%2."/>
      <w:lvlJc w:val="left"/>
      <w:pPr>
        <w:tabs>
          <w:tab w:val="num" w:pos="1647"/>
        </w:tabs>
        <w:ind w:left="1647" w:hanging="360"/>
      </w:pPr>
    </w:lvl>
    <w:lvl w:ilvl="2" w:tplc="1068C93C" w:tentative="1">
      <w:start w:val="1"/>
      <w:numFmt w:val="lowerRoman"/>
      <w:lvlText w:val="%3."/>
      <w:lvlJc w:val="right"/>
      <w:pPr>
        <w:tabs>
          <w:tab w:val="num" w:pos="2367"/>
        </w:tabs>
        <w:ind w:left="2367" w:hanging="180"/>
      </w:pPr>
    </w:lvl>
    <w:lvl w:ilvl="3" w:tplc="213A255C" w:tentative="1">
      <w:start w:val="1"/>
      <w:numFmt w:val="decimal"/>
      <w:lvlText w:val="%4."/>
      <w:lvlJc w:val="left"/>
      <w:pPr>
        <w:tabs>
          <w:tab w:val="num" w:pos="3087"/>
        </w:tabs>
        <w:ind w:left="3087" w:hanging="360"/>
      </w:pPr>
    </w:lvl>
    <w:lvl w:ilvl="4" w:tplc="0C0A0019" w:tentative="1">
      <w:start w:val="1"/>
      <w:numFmt w:val="lowerLetter"/>
      <w:lvlText w:val="%5."/>
      <w:lvlJc w:val="left"/>
      <w:pPr>
        <w:tabs>
          <w:tab w:val="num" w:pos="3807"/>
        </w:tabs>
        <w:ind w:left="3807" w:hanging="360"/>
      </w:pPr>
    </w:lvl>
    <w:lvl w:ilvl="5" w:tplc="0C0A001B" w:tentative="1">
      <w:start w:val="1"/>
      <w:numFmt w:val="lowerRoman"/>
      <w:lvlText w:val="%6."/>
      <w:lvlJc w:val="right"/>
      <w:pPr>
        <w:tabs>
          <w:tab w:val="num" w:pos="4527"/>
        </w:tabs>
        <w:ind w:left="4527" w:hanging="180"/>
      </w:pPr>
    </w:lvl>
    <w:lvl w:ilvl="6" w:tplc="0C0A000F" w:tentative="1">
      <w:start w:val="1"/>
      <w:numFmt w:val="decimal"/>
      <w:lvlText w:val="%7."/>
      <w:lvlJc w:val="left"/>
      <w:pPr>
        <w:tabs>
          <w:tab w:val="num" w:pos="5247"/>
        </w:tabs>
        <w:ind w:left="5247" w:hanging="360"/>
      </w:pPr>
    </w:lvl>
    <w:lvl w:ilvl="7" w:tplc="0C0A0019" w:tentative="1">
      <w:start w:val="1"/>
      <w:numFmt w:val="lowerLetter"/>
      <w:lvlText w:val="%8."/>
      <w:lvlJc w:val="left"/>
      <w:pPr>
        <w:tabs>
          <w:tab w:val="num" w:pos="5967"/>
        </w:tabs>
        <w:ind w:left="5967" w:hanging="360"/>
      </w:pPr>
    </w:lvl>
    <w:lvl w:ilvl="8" w:tplc="0C0A001B" w:tentative="1">
      <w:start w:val="1"/>
      <w:numFmt w:val="lowerRoman"/>
      <w:lvlText w:val="%9."/>
      <w:lvlJc w:val="right"/>
      <w:pPr>
        <w:tabs>
          <w:tab w:val="num" w:pos="6687"/>
        </w:tabs>
        <w:ind w:left="6687" w:hanging="180"/>
      </w:pPr>
    </w:lvl>
  </w:abstractNum>
  <w:abstractNum w:abstractNumId="13">
    <w:nsid w:val="55706F67"/>
    <w:multiLevelType w:val="hybridMultilevel"/>
    <w:tmpl w:val="C0589430"/>
    <w:lvl w:ilvl="0" w:tplc="64C07A18">
      <w:start w:val="1"/>
      <w:numFmt w:val="decimal"/>
      <w:lvlText w:val="%1."/>
      <w:lvlJc w:val="left"/>
      <w:pPr>
        <w:tabs>
          <w:tab w:val="num" w:pos="720"/>
        </w:tabs>
        <w:ind w:left="720" w:hanging="360"/>
      </w:pPr>
      <w:rPr>
        <w:rFonts w:hint="default"/>
      </w:rPr>
    </w:lvl>
    <w:lvl w:ilvl="1" w:tplc="70F2732C" w:tentative="1">
      <w:start w:val="1"/>
      <w:numFmt w:val="lowerLetter"/>
      <w:lvlText w:val="%2."/>
      <w:lvlJc w:val="left"/>
      <w:pPr>
        <w:tabs>
          <w:tab w:val="num" w:pos="1440"/>
        </w:tabs>
        <w:ind w:left="1440" w:hanging="360"/>
      </w:pPr>
    </w:lvl>
    <w:lvl w:ilvl="2" w:tplc="1068C93C" w:tentative="1">
      <w:start w:val="1"/>
      <w:numFmt w:val="lowerRoman"/>
      <w:lvlText w:val="%3."/>
      <w:lvlJc w:val="right"/>
      <w:pPr>
        <w:tabs>
          <w:tab w:val="num" w:pos="2160"/>
        </w:tabs>
        <w:ind w:left="2160" w:hanging="180"/>
      </w:pPr>
    </w:lvl>
    <w:lvl w:ilvl="3" w:tplc="213A255C"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nsid w:val="5ACC101E"/>
    <w:multiLevelType w:val="hybridMultilevel"/>
    <w:tmpl w:val="1DCCA2AC"/>
    <w:lvl w:ilvl="0" w:tplc="0C0A0019">
      <w:start w:val="1"/>
      <w:numFmt w:val="lowerRoman"/>
      <w:lvlText w:val="%1."/>
      <w:lvlJc w:val="right"/>
      <w:pPr>
        <w:ind w:left="1004" w:hanging="360"/>
      </w:pPr>
      <w:rPr>
        <w:b/>
      </w:rPr>
    </w:lvl>
    <w:lvl w:ilvl="1" w:tplc="0C0A0019" w:tentative="1">
      <w:start w:val="1"/>
      <w:numFmt w:val="lowerLetter"/>
      <w:lvlText w:val="%2."/>
      <w:lvlJc w:val="left"/>
      <w:pPr>
        <w:ind w:left="1724" w:hanging="360"/>
      </w:pPr>
    </w:lvl>
    <w:lvl w:ilvl="2" w:tplc="0C0A001B" w:tentative="1">
      <w:start w:val="1"/>
      <w:numFmt w:val="lowerRoman"/>
      <w:lvlText w:val="%3."/>
      <w:lvlJc w:val="right"/>
      <w:pPr>
        <w:ind w:left="2444" w:hanging="180"/>
      </w:pPr>
    </w:lvl>
    <w:lvl w:ilvl="3" w:tplc="0C0A000F" w:tentative="1">
      <w:start w:val="1"/>
      <w:numFmt w:val="decimal"/>
      <w:lvlText w:val="%4."/>
      <w:lvlJc w:val="left"/>
      <w:pPr>
        <w:ind w:left="3164" w:hanging="360"/>
      </w:pPr>
    </w:lvl>
    <w:lvl w:ilvl="4" w:tplc="0C0A0019" w:tentative="1">
      <w:start w:val="1"/>
      <w:numFmt w:val="lowerLetter"/>
      <w:lvlText w:val="%5."/>
      <w:lvlJc w:val="left"/>
      <w:pPr>
        <w:ind w:left="3884" w:hanging="360"/>
      </w:pPr>
    </w:lvl>
    <w:lvl w:ilvl="5" w:tplc="0C0A001B" w:tentative="1">
      <w:start w:val="1"/>
      <w:numFmt w:val="lowerRoman"/>
      <w:lvlText w:val="%6."/>
      <w:lvlJc w:val="right"/>
      <w:pPr>
        <w:ind w:left="4604" w:hanging="180"/>
      </w:pPr>
    </w:lvl>
    <w:lvl w:ilvl="6" w:tplc="0C0A000F" w:tentative="1">
      <w:start w:val="1"/>
      <w:numFmt w:val="decimal"/>
      <w:lvlText w:val="%7."/>
      <w:lvlJc w:val="left"/>
      <w:pPr>
        <w:ind w:left="5324" w:hanging="360"/>
      </w:pPr>
    </w:lvl>
    <w:lvl w:ilvl="7" w:tplc="0C0A0019" w:tentative="1">
      <w:start w:val="1"/>
      <w:numFmt w:val="lowerLetter"/>
      <w:lvlText w:val="%8."/>
      <w:lvlJc w:val="left"/>
      <w:pPr>
        <w:ind w:left="6044" w:hanging="360"/>
      </w:pPr>
    </w:lvl>
    <w:lvl w:ilvl="8" w:tplc="0C0A001B" w:tentative="1">
      <w:start w:val="1"/>
      <w:numFmt w:val="lowerRoman"/>
      <w:lvlText w:val="%9."/>
      <w:lvlJc w:val="right"/>
      <w:pPr>
        <w:ind w:left="6764" w:hanging="180"/>
      </w:pPr>
    </w:lvl>
  </w:abstractNum>
  <w:abstractNum w:abstractNumId="15">
    <w:nsid w:val="5B7855B0"/>
    <w:multiLevelType w:val="hybridMultilevel"/>
    <w:tmpl w:val="32E6EDA2"/>
    <w:lvl w:ilvl="0" w:tplc="C78A915A">
      <w:start w:val="1"/>
      <w:numFmt w:val="lowerLetter"/>
      <w:lvlText w:val="%1)"/>
      <w:lvlJc w:val="left"/>
      <w:pPr>
        <w:ind w:left="3280" w:hanging="360"/>
      </w:pPr>
      <w:rPr>
        <w:rFonts w:hint="default"/>
        <w:b/>
        <w:i w:val="0"/>
        <w:lang w:val="es-ES"/>
      </w:rPr>
    </w:lvl>
    <w:lvl w:ilvl="1" w:tplc="0C0A0019" w:tentative="1">
      <w:start w:val="1"/>
      <w:numFmt w:val="lowerLetter"/>
      <w:lvlText w:val="%2."/>
      <w:lvlJc w:val="left"/>
      <w:pPr>
        <w:ind w:left="4000" w:hanging="360"/>
      </w:pPr>
    </w:lvl>
    <w:lvl w:ilvl="2" w:tplc="0C0A001B" w:tentative="1">
      <w:start w:val="1"/>
      <w:numFmt w:val="lowerRoman"/>
      <w:lvlText w:val="%3."/>
      <w:lvlJc w:val="right"/>
      <w:pPr>
        <w:ind w:left="4720" w:hanging="180"/>
      </w:pPr>
    </w:lvl>
    <w:lvl w:ilvl="3" w:tplc="0C0A000F" w:tentative="1">
      <w:start w:val="1"/>
      <w:numFmt w:val="decimal"/>
      <w:lvlText w:val="%4."/>
      <w:lvlJc w:val="left"/>
      <w:pPr>
        <w:ind w:left="5440" w:hanging="360"/>
      </w:pPr>
    </w:lvl>
    <w:lvl w:ilvl="4" w:tplc="0C0A0019" w:tentative="1">
      <w:start w:val="1"/>
      <w:numFmt w:val="lowerLetter"/>
      <w:lvlText w:val="%5."/>
      <w:lvlJc w:val="left"/>
      <w:pPr>
        <w:ind w:left="6160" w:hanging="360"/>
      </w:pPr>
    </w:lvl>
    <w:lvl w:ilvl="5" w:tplc="0C0A001B" w:tentative="1">
      <w:start w:val="1"/>
      <w:numFmt w:val="lowerRoman"/>
      <w:lvlText w:val="%6."/>
      <w:lvlJc w:val="right"/>
      <w:pPr>
        <w:ind w:left="6880" w:hanging="180"/>
      </w:pPr>
    </w:lvl>
    <w:lvl w:ilvl="6" w:tplc="0C0A000F" w:tentative="1">
      <w:start w:val="1"/>
      <w:numFmt w:val="decimal"/>
      <w:lvlText w:val="%7."/>
      <w:lvlJc w:val="left"/>
      <w:pPr>
        <w:ind w:left="7600" w:hanging="360"/>
      </w:pPr>
    </w:lvl>
    <w:lvl w:ilvl="7" w:tplc="0C0A0019" w:tentative="1">
      <w:start w:val="1"/>
      <w:numFmt w:val="lowerLetter"/>
      <w:lvlText w:val="%8."/>
      <w:lvlJc w:val="left"/>
      <w:pPr>
        <w:ind w:left="8320" w:hanging="360"/>
      </w:pPr>
    </w:lvl>
    <w:lvl w:ilvl="8" w:tplc="0C0A001B" w:tentative="1">
      <w:start w:val="1"/>
      <w:numFmt w:val="lowerRoman"/>
      <w:lvlText w:val="%9."/>
      <w:lvlJc w:val="right"/>
      <w:pPr>
        <w:ind w:left="9040" w:hanging="180"/>
      </w:pPr>
    </w:lvl>
  </w:abstractNum>
  <w:abstractNum w:abstractNumId="16">
    <w:nsid w:val="5E193018"/>
    <w:multiLevelType w:val="hybridMultilevel"/>
    <w:tmpl w:val="CC50CAA0"/>
    <w:lvl w:ilvl="0" w:tplc="B1187586">
      <w:start w:val="1"/>
      <w:numFmt w:val="lowerRoman"/>
      <w:lvlText w:val="%1."/>
      <w:lvlJc w:val="right"/>
      <w:pPr>
        <w:ind w:left="1080" w:hanging="360"/>
      </w:pPr>
      <w:rPr>
        <w:rFonts w:hint="default"/>
        <w:b/>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7">
    <w:nsid w:val="5E1931F5"/>
    <w:multiLevelType w:val="hybridMultilevel"/>
    <w:tmpl w:val="91FA9AB2"/>
    <w:lvl w:ilvl="0" w:tplc="0D7EF60A">
      <w:start w:val="1"/>
      <w:numFmt w:val="decimal"/>
      <w:lvlText w:val="%1."/>
      <w:lvlJc w:val="left"/>
      <w:pPr>
        <w:tabs>
          <w:tab w:val="num" w:pos="360"/>
        </w:tabs>
        <w:ind w:left="360" w:hanging="360"/>
      </w:pPr>
      <w:rPr>
        <w:rFonts w:ascii="Tahoma" w:hAnsi="Tahoma" w:cs="Tahoma" w:hint="default"/>
        <w:b/>
        <w:sz w:val="20"/>
        <w:szCs w:val="20"/>
      </w:rPr>
    </w:lvl>
    <w:lvl w:ilvl="1" w:tplc="0C0A0019">
      <w:start w:val="12"/>
      <w:numFmt w:val="decimal"/>
      <w:lvlText w:val="%2."/>
      <w:lvlJc w:val="left"/>
      <w:pPr>
        <w:tabs>
          <w:tab w:val="num" w:pos="1440"/>
        </w:tabs>
        <w:ind w:left="1440" w:hanging="360"/>
      </w:pPr>
      <w:rPr>
        <w:rFonts w:hint="default"/>
        <w:b/>
      </w:rPr>
    </w:lvl>
    <w:lvl w:ilvl="2" w:tplc="0C0A001B" w:tentative="1">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
    <w:nsid w:val="616122C0"/>
    <w:multiLevelType w:val="hybridMultilevel"/>
    <w:tmpl w:val="22E2C15A"/>
    <w:lvl w:ilvl="0" w:tplc="0C0A0015">
      <w:start w:val="1"/>
      <w:numFmt w:val="lowerLetter"/>
      <w:lvlText w:val="%1)"/>
      <w:lvlJc w:val="left"/>
      <w:pPr>
        <w:ind w:left="1080" w:hanging="360"/>
      </w:pPr>
      <w:rPr>
        <w:rFonts w:hint="default"/>
        <w:b/>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9">
    <w:nsid w:val="653B5A99"/>
    <w:multiLevelType w:val="hybridMultilevel"/>
    <w:tmpl w:val="7B980FA0"/>
    <w:lvl w:ilvl="0" w:tplc="250A74F8">
      <w:start w:val="1"/>
      <w:numFmt w:val="decimal"/>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nsid w:val="65FE0EBD"/>
    <w:multiLevelType w:val="hybridMultilevel"/>
    <w:tmpl w:val="3D043226"/>
    <w:lvl w:ilvl="0" w:tplc="506A8BE4">
      <w:start w:val="1"/>
      <w:numFmt w:val="lowerRoman"/>
      <w:lvlText w:val="%1."/>
      <w:lvlJc w:val="right"/>
      <w:pPr>
        <w:ind w:left="1287" w:hanging="360"/>
      </w:pPr>
      <w:rPr>
        <w:b/>
      </w:r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21">
    <w:nsid w:val="66D30A47"/>
    <w:multiLevelType w:val="hybridMultilevel"/>
    <w:tmpl w:val="DAC09874"/>
    <w:lvl w:ilvl="0" w:tplc="330CB458">
      <w:start w:val="1"/>
      <w:numFmt w:val="decimal"/>
      <w:lvlText w:val="%1."/>
      <w:lvlJc w:val="left"/>
      <w:pPr>
        <w:ind w:left="720" w:hanging="360"/>
      </w:pPr>
      <w:rPr>
        <w:rFonts w:hint="default"/>
        <w:b/>
        <w:shadow/>
      </w:rPr>
    </w:lvl>
    <w:lvl w:ilvl="1" w:tplc="0C0A0019" w:tentative="1">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nsid w:val="6EA50FF8"/>
    <w:multiLevelType w:val="hybridMultilevel"/>
    <w:tmpl w:val="942E561C"/>
    <w:lvl w:ilvl="0" w:tplc="E5BE6922">
      <w:start w:val="1"/>
      <w:numFmt w:val="decimal"/>
      <w:lvlText w:val="%1."/>
      <w:lvlJc w:val="right"/>
      <w:pPr>
        <w:ind w:left="360" w:hanging="360"/>
      </w:pPr>
      <w:rPr>
        <w:rFonts w:ascii="Tahoma" w:hAnsi="Tahoma" w:hint="default"/>
        <w:b/>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nsid w:val="6ED82661"/>
    <w:multiLevelType w:val="hybridMultilevel"/>
    <w:tmpl w:val="951AA452"/>
    <w:lvl w:ilvl="0" w:tplc="46B4D042">
      <w:start w:val="1"/>
      <w:numFmt w:val="lowerLetter"/>
      <w:lvlText w:val="%1."/>
      <w:lvlJc w:val="left"/>
      <w:pPr>
        <w:tabs>
          <w:tab w:val="num" w:pos="1440"/>
        </w:tabs>
        <w:ind w:left="1440" w:hanging="360"/>
      </w:pPr>
      <w:rPr>
        <w:b/>
      </w:rPr>
    </w:lvl>
    <w:lvl w:ilvl="1" w:tplc="0C0A0019">
      <w:start w:val="1"/>
      <w:numFmt w:val="lowerLetter"/>
      <w:lvlText w:val="%2."/>
      <w:lvlJc w:val="left"/>
      <w:pPr>
        <w:tabs>
          <w:tab w:val="num" w:pos="1440"/>
        </w:tabs>
        <w:ind w:left="1440" w:hanging="360"/>
      </w:pPr>
    </w:lvl>
    <w:lvl w:ilvl="2" w:tplc="61B4AD0E">
      <w:start w:val="1"/>
      <w:numFmt w:val="decimal"/>
      <w:lvlText w:val="%3."/>
      <w:lvlJc w:val="left"/>
      <w:pPr>
        <w:tabs>
          <w:tab w:val="num" w:pos="2340"/>
        </w:tabs>
        <w:ind w:left="2340" w:hanging="360"/>
      </w:pPr>
      <w:rPr>
        <w:rFonts w:hint="default"/>
        <w:b/>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4">
    <w:nsid w:val="7384599B"/>
    <w:multiLevelType w:val="hybridMultilevel"/>
    <w:tmpl w:val="8D5EC736"/>
    <w:lvl w:ilvl="0" w:tplc="F5C055C0">
      <w:start w:val="1"/>
      <w:numFmt w:val="lowerLetter"/>
      <w:lvlText w:val="%1."/>
      <w:lvlJc w:val="left"/>
      <w:pPr>
        <w:ind w:left="1287" w:hanging="360"/>
      </w:pPr>
    </w:lvl>
    <w:lvl w:ilvl="1" w:tplc="0C0A0019">
      <w:start w:val="1"/>
      <w:numFmt w:val="decimal"/>
      <w:lvlText w:val="%2."/>
      <w:lvlJc w:val="left"/>
      <w:pPr>
        <w:tabs>
          <w:tab w:val="num" w:pos="1440"/>
        </w:tabs>
        <w:ind w:left="1440" w:hanging="360"/>
      </w:pPr>
    </w:lvl>
    <w:lvl w:ilvl="2" w:tplc="709221C6">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5">
    <w:nsid w:val="742A4401"/>
    <w:multiLevelType w:val="hybridMultilevel"/>
    <w:tmpl w:val="9FB8DAE2"/>
    <w:lvl w:ilvl="0" w:tplc="430EC130">
      <w:start w:val="1"/>
      <w:numFmt w:val="decimal"/>
      <w:lvlText w:val="%1."/>
      <w:lvlJc w:val="left"/>
      <w:pPr>
        <w:ind w:left="1287" w:hanging="360"/>
      </w:pPr>
      <w:rPr>
        <w:rFonts w:ascii="Tahoma" w:hAnsi="Tahoma" w:cs="Tahoma" w:hint="default"/>
        <w:b/>
        <w:sz w:val="20"/>
        <w:szCs w:val="20"/>
      </w:rPr>
    </w:lvl>
    <w:lvl w:ilvl="1" w:tplc="C8DE6CEA">
      <w:start w:val="1"/>
      <w:numFmt w:val="lowerLetter"/>
      <w:lvlText w:val="%2)"/>
      <w:lvlJc w:val="left"/>
      <w:pPr>
        <w:tabs>
          <w:tab w:val="num" w:pos="2007"/>
        </w:tabs>
        <w:ind w:left="2007" w:hanging="360"/>
      </w:pPr>
      <w:rPr>
        <w:rFonts w:hint="default"/>
        <w:b/>
        <w:lang w:val="es-ES"/>
      </w:r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26">
    <w:nsid w:val="77041A0B"/>
    <w:multiLevelType w:val="hybridMultilevel"/>
    <w:tmpl w:val="0624DA72"/>
    <w:lvl w:ilvl="0" w:tplc="0C0A000F">
      <w:start w:val="1"/>
      <w:numFmt w:val="lowerLetter"/>
      <w:lvlText w:val="%1)"/>
      <w:lvlJc w:val="left"/>
      <w:pPr>
        <w:ind w:left="1571" w:hanging="360"/>
      </w:pPr>
      <w:rPr>
        <w:rFonts w:hint="default"/>
        <w:b/>
        <w:lang w:val="es-ES"/>
      </w:rPr>
    </w:lvl>
    <w:lvl w:ilvl="1" w:tplc="0C0A0019" w:tentative="1">
      <w:start w:val="1"/>
      <w:numFmt w:val="lowerLetter"/>
      <w:lvlText w:val="%2."/>
      <w:lvlJc w:val="left"/>
      <w:pPr>
        <w:ind w:left="2291" w:hanging="360"/>
      </w:pPr>
    </w:lvl>
    <w:lvl w:ilvl="2" w:tplc="0C0A001B">
      <w:start w:val="1"/>
      <w:numFmt w:val="lowerRoman"/>
      <w:lvlText w:val="%3."/>
      <w:lvlJc w:val="right"/>
      <w:pPr>
        <w:ind w:left="3011" w:hanging="180"/>
      </w:pPr>
    </w:lvl>
    <w:lvl w:ilvl="3" w:tplc="0C0A000F" w:tentative="1">
      <w:start w:val="1"/>
      <w:numFmt w:val="decimal"/>
      <w:lvlText w:val="%4."/>
      <w:lvlJc w:val="left"/>
      <w:pPr>
        <w:ind w:left="3731" w:hanging="360"/>
      </w:pPr>
    </w:lvl>
    <w:lvl w:ilvl="4" w:tplc="0C0A0019" w:tentative="1">
      <w:start w:val="1"/>
      <w:numFmt w:val="lowerLetter"/>
      <w:lvlText w:val="%5."/>
      <w:lvlJc w:val="left"/>
      <w:pPr>
        <w:ind w:left="4451" w:hanging="360"/>
      </w:pPr>
    </w:lvl>
    <w:lvl w:ilvl="5" w:tplc="0C0A001B" w:tentative="1">
      <w:start w:val="1"/>
      <w:numFmt w:val="lowerRoman"/>
      <w:lvlText w:val="%6."/>
      <w:lvlJc w:val="right"/>
      <w:pPr>
        <w:ind w:left="5171" w:hanging="180"/>
      </w:pPr>
    </w:lvl>
    <w:lvl w:ilvl="6" w:tplc="0C0A000F" w:tentative="1">
      <w:start w:val="1"/>
      <w:numFmt w:val="decimal"/>
      <w:lvlText w:val="%7."/>
      <w:lvlJc w:val="left"/>
      <w:pPr>
        <w:ind w:left="5891" w:hanging="360"/>
      </w:pPr>
    </w:lvl>
    <w:lvl w:ilvl="7" w:tplc="0C0A0019" w:tentative="1">
      <w:start w:val="1"/>
      <w:numFmt w:val="lowerLetter"/>
      <w:lvlText w:val="%8."/>
      <w:lvlJc w:val="left"/>
      <w:pPr>
        <w:ind w:left="6611" w:hanging="360"/>
      </w:pPr>
    </w:lvl>
    <w:lvl w:ilvl="8" w:tplc="0C0A001B" w:tentative="1">
      <w:start w:val="1"/>
      <w:numFmt w:val="lowerRoman"/>
      <w:lvlText w:val="%9."/>
      <w:lvlJc w:val="right"/>
      <w:pPr>
        <w:ind w:left="7331" w:hanging="180"/>
      </w:pPr>
    </w:lvl>
  </w:abstractNum>
  <w:abstractNum w:abstractNumId="27">
    <w:nsid w:val="7DB72651"/>
    <w:multiLevelType w:val="hybridMultilevel"/>
    <w:tmpl w:val="72B06E10"/>
    <w:lvl w:ilvl="0" w:tplc="0C0A001B">
      <w:start w:val="1"/>
      <w:numFmt w:val="bullet"/>
      <w:lvlText w:val="−"/>
      <w:lvlJc w:val="left"/>
      <w:pPr>
        <w:tabs>
          <w:tab w:val="num" w:pos="1965"/>
        </w:tabs>
        <w:ind w:left="1965" w:hanging="360"/>
      </w:pPr>
      <w:rPr>
        <w:rFonts w:ascii="Times New Roman" w:eastAsia="Times New Roman" w:hAnsi="Times New Roman" w:cs="Times New Roman" w:hint="default"/>
      </w:rPr>
    </w:lvl>
    <w:lvl w:ilvl="1" w:tplc="0C0A0019">
      <w:start w:val="3"/>
      <w:numFmt w:val="upperRoman"/>
      <w:lvlText w:val="%2."/>
      <w:lvlJc w:val="left"/>
      <w:pPr>
        <w:tabs>
          <w:tab w:val="num" w:pos="1800"/>
        </w:tabs>
        <w:ind w:left="1800" w:hanging="720"/>
      </w:pPr>
      <w:rPr>
        <w:rFonts w:hint="default"/>
        <w:b w:val="0"/>
      </w:rPr>
    </w:lvl>
    <w:lvl w:ilvl="2" w:tplc="0C0A001B">
      <w:start w:val="1"/>
      <w:numFmt w:val="decimal"/>
      <w:lvlText w:val="3.%3"/>
      <w:lvlJc w:val="left"/>
      <w:pPr>
        <w:tabs>
          <w:tab w:val="num" w:pos="2160"/>
        </w:tabs>
        <w:ind w:left="2160" w:hanging="360"/>
      </w:pPr>
      <w:rPr>
        <w:rFonts w:hint="default"/>
      </w:rPr>
    </w:lvl>
    <w:lvl w:ilvl="3" w:tplc="0C0A000F">
      <w:start w:val="1"/>
      <w:numFmt w:val="bullet"/>
      <w:lvlText w:val=""/>
      <w:lvlJc w:val="left"/>
      <w:pPr>
        <w:tabs>
          <w:tab w:val="num" w:pos="2880"/>
        </w:tabs>
        <w:ind w:left="2880" w:hanging="360"/>
      </w:pPr>
      <w:rPr>
        <w:rFonts w:ascii="Symbol" w:hAnsi="Symbol" w:hint="default"/>
      </w:rPr>
    </w:lvl>
    <w:lvl w:ilvl="4" w:tplc="0C0A0019">
      <w:start w:val="1"/>
      <w:numFmt w:val="decimal"/>
      <w:lvlText w:val="%5"/>
      <w:lvlJc w:val="left"/>
      <w:pPr>
        <w:ind w:left="3600" w:hanging="360"/>
      </w:pPr>
      <w:rPr>
        <w:rFonts w:hint="default"/>
      </w:rPr>
    </w:lvl>
    <w:lvl w:ilvl="5" w:tplc="0C0A001B">
      <w:start w:val="1"/>
      <w:numFmt w:val="decimal"/>
      <w:lvlText w:val="%6."/>
      <w:lvlJc w:val="left"/>
      <w:pPr>
        <w:ind w:left="4320" w:hanging="360"/>
      </w:pPr>
      <w:rPr>
        <w:rFonts w:hint="default"/>
      </w:rPr>
    </w:lvl>
    <w:lvl w:ilvl="6" w:tplc="0C0A000F">
      <w:start w:val="1"/>
      <w:numFmt w:val="bullet"/>
      <w:lvlText w:val=""/>
      <w:lvlJc w:val="left"/>
      <w:pPr>
        <w:tabs>
          <w:tab w:val="num" w:pos="5040"/>
        </w:tabs>
        <w:ind w:left="5040" w:hanging="360"/>
      </w:pPr>
      <w:rPr>
        <w:rFonts w:ascii="Symbol" w:hAnsi="Symbol" w:hint="default"/>
      </w:rPr>
    </w:lvl>
    <w:lvl w:ilvl="7" w:tplc="0C0A0019" w:tentative="1">
      <w:start w:val="1"/>
      <w:numFmt w:val="bullet"/>
      <w:lvlText w:val="o"/>
      <w:lvlJc w:val="left"/>
      <w:pPr>
        <w:tabs>
          <w:tab w:val="num" w:pos="5760"/>
        </w:tabs>
        <w:ind w:left="5760" w:hanging="360"/>
      </w:pPr>
      <w:rPr>
        <w:rFonts w:ascii="Courier New" w:hAnsi="Courier New" w:cs="Courier New" w:hint="default"/>
      </w:rPr>
    </w:lvl>
    <w:lvl w:ilvl="8" w:tplc="0C0A001B" w:tentative="1">
      <w:start w:val="1"/>
      <w:numFmt w:val="bullet"/>
      <w:lvlText w:val=""/>
      <w:lvlJc w:val="left"/>
      <w:pPr>
        <w:tabs>
          <w:tab w:val="num" w:pos="6480"/>
        </w:tabs>
        <w:ind w:left="6480" w:hanging="360"/>
      </w:pPr>
      <w:rPr>
        <w:rFonts w:ascii="Wingdings" w:hAnsi="Wingdings" w:hint="default"/>
      </w:rPr>
    </w:lvl>
  </w:abstractNum>
  <w:abstractNum w:abstractNumId="28">
    <w:nsid w:val="7EC759A6"/>
    <w:multiLevelType w:val="hybridMultilevel"/>
    <w:tmpl w:val="1B886FE6"/>
    <w:lvl w:ilvl="0" w:tplc="EEE8C01E">
      <w:start w:val="1"/>
      <w:numFmt w:val="decimal"/>
      <w:lvlText w:val="%1."/>
      <w:lvlJc w:val="left"/>
      <w:pPr>
        <w:tabs>
          <w:tab w:val="num" w:pos="360"/>
        </w:tabs>
        <w:ind w:left="360" w:hanging="360"/>
      </w:pPr>
      <w:rPr>
        <w:b/>
      </w:rPr>
    </w:lvl>
    <w:lvl w:ilvl="1" w:tplc="0C0A0019">
      <w:start w:val="1"/>
      <w:numFmt w:val="lowerLetter"/>
      <w:lvlText w:val="%2."/>
      <w:lvlJc w:val="left"/>
      <w:pPr>
        <w:tabs>
          <w:tab w:val="num" w:pos="1080"/>
        </w:tabs>
        <w:ind w:left="1080" w:hanging="360"/>
      </w:pPr>
      <w:rPr>
        <w:b/>
      </w:r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num w:numId="1">
    <w:abstractNumId w:val="25"/>
  </w:num>
  <w:num w:numId="2">
    <w:abstractNumId w:val="17"/>
  </w:num>
  <w:num w:numId="3">
    <w:abstractNumId w:val="5"/>
  </w:num>
  <w:num w:numId="4">
    <w:abstractNumId w:val="8"/>
  </w:num>
  <w:num w:numId="5">
    <w:abstractNumId w:val="2"/>
  </w:num>
  <w:num w:numId="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3"/>
  </w:num>
  <w:num w:numId="10">
    <w:abstractNumId w:val="12"/>
  </w:num>
  <w:num w:numId="11">
    <w:abstractNumId w:val="13"/>
  </w:num>
  <w:num w:numId="12">
    <w:abstractNumId w:val="26"/>
  </w:num>
  <w:num w:numId="13">
    <w:abstractNumId w:val="19"/>
  </w:num>
  <w:num w:numId="14">
    <w:abstractNumId w:val="14"/>
  </w:num>
  <w:num w:numId="15">
    <w:abstractNumId w:val="23"/>
  </w:num>
  <w:num w:numId="16">
    <w:abstractNumId w:val="4"/>
  </w:num>
  <w:num w:numId="17">
    <w:abstractNumId w:val="21"/>
  </w:num>
  <w:num w:numId="18">
    <w:abstractNumId w:val="28"/>
  </w:num>
  <w:num w:numId="19">
    <w:abstractNumId w:val="16"/>
  </w:num>
  <w:num w:numId="20">
    <w:abstractNumId w:val="18"/>
  </w:num>
  <w:num w:numId="21">
    <w:abstractNumId w:val="11"/>
  </w:num>
  <w:num w:numId="22">
    <w:abstractNumId w:val="1"/>
  </w:num>
  <w:num w:numId="23">
    <w:abstractNumId w:val="22"/>
  </w:num>
  <w:num w:numId="24">
    <w:abstractNumId w:val="10"/>
  </w:num>
  <w:num w:numId="25">
    <w:abstractNumId w:val="6"/>
  </w:num>
  <w:num w:numId="26">
    <w:abstractNumId w:val="15"/>
  </w:num>
  <w:num w:numId="27">
    <w:abstractNumId w:val="27"/>
  </w:num>
  <w:num w:numId="28">
    <w:abstractNumId w:val="20"/>
  </w:num>
  <w:num w:numId="29">
    <w:abstractNumId w:val="0"/>
  </w:num>
  <w:num w:numId="3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1506"/>
  </w:hdrShapeDefaults>
  <w:footnotePr>
    <w:footnote w:id="0"/>
    <w:footnote w:id="1"/>
  </w:footnotePr>
  <w:endnotePr>
    <w:endnote w:id="0"/>
    <w:endnote w:id="1"/>
  </w:endnotePr>
  <w:compat/>
  <w:rsids>
    <w:rsidRoot w:val="00711297"/>
    <w:rsid w:val="000070EB"/>
    <w:rsid w:val="000115B4"/>
    <w:rsid w:val="00015440"/>
    <w:rsid w:val="00066E33"/>
    <w:rsid w:val="000A3CD2"/>
    <w:rsid w:val="000B0720"/>
    <w:rsid w:val="000B6FEB"/>
    <w:rsid w:val="000E01D1"/>
    <w:rsid w:val="00101193"/>
    <w:rsid w:val="00141BCC"/>
    <w:rsid w:val="00142B7D"/>
    <w:rsid w:val="00162FCA"/>
    <w:rsid w:val="0016735A"/>
    <w:rsid w:val="001D3315"/>
    <w:rsid w:val="001D57DE"/>
    <w:rsid w:val="001D728A"/>
    <w:rsid w:val="001E6A70"/>
    <w:rsid w:val="001F190A"/>
    <w:rsid w:val="001F38BE"/>
    <w:rsid w:val="002078ED"/>
    <w:rsid w:val="00212795"/>
    <w:rsid w:val="002401C1"/>
    <w:rsid w:val="002578D8"/>
    <w:rsid w:val="002630C3"/>
    <w:rsid w:val="00275158"/>
    <w:rsid w:val="00277B64"/>
    <w:rsid w:val="0029262B"/>
    <w:rsid w:val="002D1AB4"/>
    <w:rsid w:val="00303817"/>
    <w:rsid w:val="00305D8E"/>
    <w:rsid w:val="003129E0"/>
    <w:rsid w:val="00332D11"/>
    <w:rsid w:val="0036432D"/>
    <w:rsid w:val="003B5386"/>
    <w:rsid w:val="003F28DF"/>
    <w:rsid w:val="0041002F"/>
    <w:rsid w:val="0041279D"/>
    <w:rsid w:val="004156B9"/>
    <w:rsid w:val="00423DAB"/>
    <w:rsid w:val="00431A1D"/>
    <w:rsid w:val="00452C37"/>
    <w:rsid w:val="00491A1B"/>
    <w:rsid w:val="00494A73"/>
    <w:rsid w:val="00496C81"/>
    <w:rsid w:val="004A2F3F"/>
    <w:rsid w:val="004C393D"/>
    <w:rsid w:val="004D2DDC"/>
    <w:rsid w:val="004E2E93"/>
    <w:rsid w:val="004F1A48"/>
    <w:rsid w:val="00516EC6"/>
    <w:rsid w:val="00554A3C"/>
    <w:rsid w:val="005673D8"/>
    <w:rsid w:val="005757F4"/>
    <w:rsid w:val="005811F4"/>
    <w:rsid w:val="00624E18"/>
    <w:rsid w:val="00661593"/>
    <w:rsid w:val="00665EE9"/>
    <w:rsid w:val="006B65BB"/>
    <w:rsid w:val="006C3078"/>
    <w:rsid w:val="006D0EE9"/>
    <w:rsid w:val="007007F0"/>
    <w:rsid w:val="00711297"/>
    <w:rsid w:val="0077221D"/>
    <w:rsid w:val="007728C3"/>
    <w:rsid w:val="00792EBF"/>
    <w:rsid w:val="007C19F1"/>
    <w:rsid w:val="007D15DD"/>
    <w:rsid w:val="007D2B93"/>
    <w:rsid w:val="00806BF2"/>
    <w:rsid w:val="00806C06"/>
    <w:rsid w:val="00811526"/>
    <w:rsid w:val="008205CC"/>
    <w:rsid w:val="00822F18"/>
    <w:rsid w:val="00831F2B"/>
    <w:rsid w:val="0085368E"/>
    <w:rsid w:val="00857463"/>
    <w:rsid w:val="00871316"/>
    <w:rsid w:val="0087374F"/>
    <w:rsid w:val="00877F0D"/>
    <w:rsid w:val="00893198"/>
    <w:rsid w:val="008A07E9"/>
    <w:rsid w:val="008B56B1"/>
    <w:rsid w:val="009269B4"/>
    <w:rsid w:val="00986843"/>
    <w:rsid w:val="009871D2"/>
    <w:rsid w:val="00991647"/>
    <w:rsid w:val="009B4922"/>
    <w:rsid w:val="009C3AD8"/>
    <w:rsid w:val="009C7372"/>
    <w:rsid w:val="00A00959"/>
    <w:rsid w:val="00A01498"/>
    <w:rsid w:val="00A23794"/>
    <w:rsid w:val="00A43A67"/>
    <w:rsid w:val="00A460D5"/>
    <w:rsid w:val="00A50577"/>
    <w:rsid w:val="00A539DF"/>
    <w:rsid w:val="00A6118B"/>
    <w:rsid w:val="00AD56A4"/>
    <w:rsid w:val="00AE30EA"/>
    <w:rsid w:val="00AE34F7"/>
    <w:rsid w:val="00AE4C07"/>
    <w:rsid w:val="00B05429"/>
    <w:rsid w:val="00B115F1"/>
    <w:rsid w:val="00B17CAB"/>
    <w:rsid w:val="00B326B5"/>
    <w:rsid w:val="00B327B4"/>
    <w:rsid w:val="00BD1EAF"/>
    <w:rsid w:val="00BE0C34"/>
    <w:rsid w:val="00BF2EF7"/>
    <w:rsid w:val="00BF6919"/>
    <w:rsid w:val="00C14824"/>
    <w:rsid w:val="00C156F5"/>
    <w:rsid w:val="00C345ED"/>
    <w:rsid w:val="00C3613C"/>
    <w:rsid w:val="00C46DE3"/>
    <w:rsid w:val="00C525B4"/>
    <w:rsid w:val="00C6431F"/>
    <w:rsid w:val="00C737FA"/>
    <w:rsid w:val="00C92BDE"/>
    <w:rsid w:val="00C930B1"/>
    <w:rsid w:val="00CC02FE"/>
    <w:rsid w:val="00CE3EE9"/>
    <w:rsid w:val="00D2156E"/>
    <w:rsid w:val="00D63ECF"/>
    <w:rsid w:val="00D650D5"/>
    <w:rsid w:val="00D75CB2"/>
    <w:rsid w:val="00D83E6E"/>
    <w:rsid w:val="00DA1F89"/>
    <w:rsid w:val="00DD0EB3"/>
    <w:rsid w:val="00DF2F20"/>
    <w:rsid w:val="00E02E9E"/>
    <w:rsid w:val="00E376A0"/>
    <w:rsid w:val="00E427F6"/>
    <w:rsid w:val="00E53BE0"/>
    <w:rsid w:val="00E91B59"/>
    <w:rsid w:val="00E92B54"/>
    <w:rsid w:val="00E949AC"/>
    <w:rsid w:val="00EA1648"/>
    <w:rsid w:val="00EA5F27"/>
    <w:rsid w:val="00EB60D5"/>
    <w:rsid w:val="00EC725E"/>
    <w:rsid w:val="00EE0B96"/>
    <w:rsid w:val="00F10EAA"/>
    <w:rsid w:val="00F179DB"/>
    <w:rsid w:val="00F30719"/>
    <w:rsid w:val="00F543DD"/>
    <w:rsid w:val="00F81266"/>
    <w:rsid w:val="00FA55CE"/>
    <w:rsid w:val="00FC137C"/>
    <w:rsid w:val="00FD193F"/>
    <w:rsid w:val="00FE18D9"/>
    <w:rsid w:val="00FE6DDC"/>
    <w:rsid w:val="00FF747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1297"/>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711297"/>
    <w:pPr>
      <w:spacing w:after="120"/>
    </w:pPr>
    <w:rPr>
      <w:sz w:val="16"/>
      <w:szCs w:val="16"/>
      <w:lang w:val="es-PE"/>
    </w:rPr>
  </w:style>
  <w:style w:type="character" w:customStyle="1" w:styleId="Textoindependiente3Car">
    <w:name w:val="Texto independiente 3 Car"/>
    <w:basedOn w:val="Fuentedeprrafopredeter"/>
    <w:link w:val="Textoindependiente3"/>
    <w:rsid w:val="00711297"/>
    <w:rPr>
      <w:rFonts w:ascii="Times New Roman" w:eastAsia="Times New Roman" w:hAnsi="Times New Roman" w:cs="Times New Roman"/>
      <w:sz w:val="16"/>
      <w:szCs w:val="16"/>
      <w:lang w:val="es-PE" w:eastAsia="es-ES"/>
    </w:rPr>
  </w:style>
  <w:style w:type="paragraph" w:styleId="Prrafodelista">
    <w:name w:val="List Paragraph"/>
    <w:basedOn w:val="Normal"/>
    <w:uiPriority w:val="34"/>
    <w:qFormat/>
    <w:rsid w:val="00711297"/>
    <w:pPr>
      <w:ind w:left="720"/>
      <w:contextualSpacing/>
    </w:pPr>
  </w:style>
  <w:style w:type="paragraph" w:styleId="Textonotapie">
    <w:name w:val="footnote text"/>
    <w:aliases w:val=" Car,Car,Car Car,Car Car Car,Texto nota pie1, Car4,Car4,Body Text, Car2 Car Car Car Car Car, Car2 Car, Car2, Car1 Car,Car1 Car, Car2 Car1 Car, Car1,Car2 Car Car Car Car Car,Car2 Car Car,Car2 Car,Car2 Car Car Car Car Car Car, Car Car Car"/>
    <w:basedOn w:val="Normal"/>
    <w:link w:val="TextonotapieCar"/>
    <w:rsid w:val="00711297"/>
    <w:rPr>
      <w:sz w:val="20"/>
      <w:szCs w:val="20"/>
    </w:rPr>
  </w:style>
  <w:style w:type="character" w:customStyle="1" w:styleId="TextonotapieCar">
    <w:name w:val="Texto nota pie Car"/>
    <w:aliases w:val=" Car Car,Car Car1,Car Car Car1,Car Car Car Car,Texto nota pie1 Car, Car4 Car,Car4 Car,Body Text Car, Car2 Car Car Car Car Car Car, Car2 Car Car, Car2 Car1, Car1 Car Car,Car1 Car Car, Car2 Car1 Car Car, Car1 Car1,Car2 Car Car Car"/>
    <w:basedOn w:val="Fuentedeprrafopredeter"/>
    <w:link w:val="Textonotapie"/>
    <w:rsid w:val="00711297"/>
    <w:rPr>
      <w:rFonts w:ascii="Times New Roman" w:eastAsia="Times New Roman" w:hAnsi="Times New Roman" w:cs="Times New Roman"/>
      <w:sz w:val="20"/>
      <w:szCs w:val="20"/>
      <w:lang w:eastAsia="es-ES"/>
    </w:rPr>
  </w:style>
  <w:style w:type="character" w:styleId="Refdenotaalpie">
    <w:name w:val="footnote reference"/>
    <w:basedOn w:val="Fuentedeprrafopredeter"/>
    <w:rsid w:val="00711297"/>
    <w:rPr>
      <w:rFonts w:cs="Times New Roman"/>
      <w:vertAlign w:val="superscript"/>
    </w:rPr>
  </w:style>
  <w:style w:type="paragraph" w:styleId="Sinespaciado">
    <w:name w:val="No Spacing"/>
    <w:uiPriority w:val="1"/>
    <w:qFormat/>
    <w:rsid w:val="00711297"/>
    <w:pPr>
      <w:spacing w:after="0" w:line="240" w:lineRule="auto"/>
    </w:pPr>
    <w:rPr>
      <w:rFonts w:ascii="Calibri" w:eastAsia="Calibri" w:hAnsi="Calibri" w:cs="Times New Roman"/>
    </w:rPr>
  </w:style>
  <w:style w:type="paragraph" w:customStyle="1" w:styleId="Textoindependiente21">
    <w:name w:val="Texto independiente 21"/>
    <w:basedOn w:val="Normal"/>
    <w:rsid w:val="00711297"/>
    <w:pPr>
      <w:jc w:val="both"/>
    </w:pPr>
    <w:rPr>
      <w:rFonts w:ascii="Tahoma" w:hAnsi="Tahoma"/>
      <w:sz w:val="22"/>
      <w:szCs w:val="20"/>
    </w:rPr>
  </w:style>
  <w:style w:type="paragraph" w:styleId="Piedepgina">
    <w:name w:val="footer"/>
    <w:basedOn w:val="Normal"/>
    <w:link w:val="PiedepginaCar"/>
    <w:uiPriority w:val="99"/>
    <w:unhideWhenUsed/>
    <w:rsid w:val="00711297"/>
    <w:pPr>
      <w:tabs>
        <w:tab w:val="center" w:pos="4252"/>
        <w:tab w:val="right" w:pos="8504"/>
      </w:tabs>
    </w:pPr>
  </w:style>
  <w:style w:type="character" w:customStyle="1" w:styleId="PiedepginaCar">
    <w:name w:val="Pie de página Car"/>
    <w:basedOn w:val="Fuentedeprrafopredeter"/>
    <w:link w:val="Piedepgina"/>
    <w:uiPriority w:val="99"/>
    <w:rsid w:val="00711297"/>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unhideWhenUsed/>
    <w:rsid w:val="00711297"/>
    <w:pPr>
      <w:spacing w:after="120"/>
    </w:pPr>
  </w:style>
  <w:style w:type="character" w:customStyle="1" w:styleId="TextoindependienteCar">
    <w:name w:val="Texto independiente Car"/>
    <w:basedOn w:val="Fuentedeprrafopredeter"/>
    <w:link w:val="Textoindependiente"/>
    <w:rsid w:val="00711297"/>
    <w:rPr>
      <w:rFonts w:ascii="Times New Roman" w:eastAsia="Times New Roman" w:hAnsi="Times New Roman" w:cs="Times New Roman"/>
      <w:sz w:val="24"/>
      <w:szCs w:val="24"/>
      <w:lang w:eastAsia="es-ES"/>
    </w:rPr>
  </w:style>
  <w:style w:type="paragraph" w:styleId="Textoindependiente2">
    <w:name w:val="Body Text 2"/>
    <w:basedOn w:val="Normal"/>
    <w:link w:val="Textoindependiente2Car"/>
    <w:unhideWhenUsed/>
    <w:rsid w:val="00877F0D"/>
    <w:pPr>
      <w:spacing w:after="120" w:line="480" w:lineRule="auto"/>
    </w:pPr>
    <w:rPr>
      <w:sz w:val="20"/>
      <w:szCs w:val="20"/>
    </w:rPr>
  </w:style>
  <w:style w:type="character" w:customStyle="1" w:styleId="Textoindependiente2Car">
    <w:name w:val="Texto independiente 2 Car"/>
    <w:basedOn w:val="Fuentedeprrafopredeter"/>
    <w:link w:val="Textoindependiente2"/>
    <w:rsid w:val="00877F0D"/>
    <w:rPr>
      <w:rFonts w:ascii="Times New Roman" w:eastAsia="Times New Roman" w:hAnsi="Times New Roman" w:cs="Times New Roman"/>
      <w:sz w:val="20"/>
      <w:szCs w:val="20"/>
      <w:lang w:eastAsia="es-ES"/>
    </w:rPr>
  </w:style>
  <w:style w:type="paragraph" w:styleId="Sangradetextonormal">
    <w:name w:val="Body Text Indent"/>
    <w:basedOn w:val="Normal"/>
    <w:link w:val="SangradetextonormalCar"/>
    <w:uiPriority w:val="99"/>
    <w:unhideWhenUsed/>
    <w:rsid w:val="00986843"/>
    <w:pPr>
      <w:spacing w:after="120"/>
      <w:ind w:left="283"/>
      <w:jc w:val="both"/>
    </w:pPr>
    <w:rPr>
      <w:rFonts w:ascii="Tahoma" w:eastAsia="Calibri" w:hAnsi="Tahoma"/>
      <w:sz w:val="22"/>
      <w:szCs w:val="22"/>
      <w:lang w:eastAsia="en-US"/>
    </w:rPr>
  </w:style>
  <w:style w:type="character" w:customStyle="1" w:styleId="SangradetextonormalCar">
    <w:name w:val="Sangría de texto normal Car"/>
    <w:basedOn w:val="Fuentedeprrafopredeter"/>
    <w:link w:val="Sangradetextonormal"/>
    <w:uiPriority w:val="99"/>
    <w:rsid w:val="00986843"/>
    <w:rPr>
      <w:rFonts w:ascii="Tahoma" w:eastAsia="Calibri" w:hAnsi="Tahoma" w:cs="Times New Roman"/>
    </w:rPr>
  </w:style>
  <w:style w:type="paragraph" w:styleId="Encabezado">
    <w:name w:val="header"/>
    <w:aliases w:val="maria,h"/>
    <w:basedOn w:val="Normal"/>
    <w:link w:val="EncabezadoCar"/>
    <w:uiPriority w:val="99"/>
    <w:semiHidden/>
    <w:unhideWhenUsed/>
    <w:rsid w:val="00491A1B"/>
    <w:pPr>
      <w:tabs>
        <w:tab w:val="center" w:pos="4252"/>
        <w:tab w:val="right" w:pos="8504"/>
      </w:tabs>
    </w:pPr>
  </w:style>
  <w:style w:type="character" w:customStyle="1" w:styleId="EncabezadoCar">
    <w:name w:val="Encabezado Car"/>
    <w:aliases w:val="maria Car,h Car"/>
    <w:basedOn w:val="Fuentedeprrafopredeter"/>
    <w:link w:val="Encabezado"/>
    <w:uiPriority w:val="99"/>
    <w:semiHidden/>
    <w:rsid w:val="00491A1B"/>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1307708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136</TotalTime>
  <Pages>10</Pages>
  <Words>4126</Words>
  <Characters>22696</Characters>
  <Application>Microsoft Office Word</Application>
  <DocSecurity>0</DocSecurity>
  <Lines>189</Lines>
  <Paragraphs>53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dc:creator>
  <cp:keywords/>
  <dc:description/>
  <cp:lastModifiedBy>bcaceres</cp:lastModifiedBy>
  <cp:revision>152</cp:revision>
  <cp:lastPrinted>2011-06-21T21:13:00Z</cp:lastPrinted>
  <dcterms:created xsi:type="dcterms:W3CDTF">2009-12-29T20:43:00Z</dcterms:created>
  <dcterms:modified xsi:type="dcterms:W3CDTF">2011-07-21T14:10:00Z</dcterms:modified>
</cp:coreProperties>
</file>